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
      <w:tblGrid>
        <w:gridCol w:w="4627"/>
        <w:gridCol w:w="193"/>
        <w:gridCol w:w="20"/>
        <w:gridCol w:w="2149"/>
        <w:gridCol w:w="6"/>
        <w:gridCol w:w="227"/>
        <w:gridCol w:w="2129"/>
        <w:gridCol w:w="4050"/>
      </w:tblGrid>
      <w:tr w14:paraId="0FA0AF50" w14:textId="77777777" w:rsidTr="00F94139">
        <w:tblPrEx>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Ex>
        <w:trPr>
          <w:gridAfter w:val="1"/>
          <w:wAfter w:w="4050" w:type="dxa"/>
        </w:trPr>
        <w:tc>
          <w:tcPr>
            <w:tcW w:w="4627" w:type="dxa"/>
          </w:tcPr>
          <w:p w:rsidR="00223F02" w:rsidRPr="00E85FCA" w:rsidP="00223F02" w14:paraId="09FBE9FB" w14:textId="77777777">
            <w:pPr>
              <w:tabs>
                <w:tab w:val="left" w:pos="340"/>
                <w:tab w:val="left" w:pos="1013"/>
              </w:tabs>
            </w:pPr>
            <w:r w:rsidRPr="00E85FCA">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P="00A81FDC" w14:paraId="204BE900" w14:textId="77777777"/>
        </w:tc>
        <w:tc>
          <w:tcPr>
            <w:tcW w:w="2175" w:type="dxa"/>
            <w:gridSpan w:val="3"/>
          </w:tcPr>
          <w:p w:rsidR="003923F7" w:rsidRPr="00E85FCA" w:rsidP="00A81FDC" w14:paraId="1B365BED" w14:textId="77777777">
            <w:pPr>
              <w:rPr>
                <w:sz w:val="14"/>
                <w:szCs w:val="14"/>
              </w:rPr>
            </w:pPr>
            <w:r w:rsidRPr="00E85FCA">
              <w:rPr>
                <w:sz w:val="14"/>
                <w:szCs w:val="14"/>
              </w:rPr>
              <w:t>Vår dato:</w:t>
            </w:r>
          </w:p>
        </w:tc>
        <w:tc>
          <w:tcPr>
            <w:tcW w:w="227" w:type="dxa"/>
          </w:tcPr>
          <w:p w:rsidR="003923F7" w:rsidRPr="00E85FCA" w:rsidP="00A81FDC" w14:paraId="0F714C0C" w14:textId="77777777">
            <w:pPr>
              <w:rPr>
                <w:sz w:val="14"/>
                <w:szCs w:val="14"/>
              </w:rPr>
            </w:pPr>
          </w:p>
        </w:tc>
        <w:tc>
          <w:tcPr>
            <w:tcW w:w="2129" w:type="dxa"/>
          </w:tcPr>
          <w:p w:rsidR="003923F7" w:rsidRPr="00E85FCA" w:rsidP="00A81FDC" w14:paraId="087F1DA3" w14:textId="77777777">
            <w:pPr>
              <w:rPr>
                <w:sz w:val="14"/>
                <w:szCs w:val="14"/>
              </w:rPr>
            </w:pPr>
            <w:r w:rsidRPr="00E85FCA">
              <w:rPr>
                <w:sz w:val="14"/>
                <w:szCs w:val="14"/>
              </w:rPr>
              <w:t xml:space="preserve">Vår </w:t>
            </w:r>
            <w:r w:rsidRPr="00E85FCA">
              <w:rPr>
                <w:sz w:val="14"/>
                <w:szCs w:val="14"/>
              </w:rPr>
              <w:t>ref</w:t>
            </w:r>
            <w:r w:rsidRPr="00E85FCA">
              <w:rPr>
                <w:sz w:val="14"/>
                <w:szCs w:val="14"/>
              </w:rPr>
              <w:t>:</w:t>
            </w:r>
          </w:p>
        </w:tc>
      </w:tr>
      <w:tr w14:paraId="006CB61F"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22725346" w14:textId="77777777"/>
        </w:tc>
        <w:tc>
          <w:tcPr>
            <w:tcW w:w="193" w:type="dxa"/>
          </w:tcPr>
          <w:p w:rsidR="003923F7" w:rsidRPr="00E85FCA" w:rsidP="00A81FDC" w14:paraId="16F17BA6" w14:textId="77777777"/>
        </w:tc>
        <w:tc>
          <w:tcPr>
            <w:tcW w:w="2175" w:type="dxa"/>
            <w:gridSpan w:val="3"/>
          </w:tcPr>
          <w:p w:rsidR="003923F7" w:rsidRPr="00E85FCA" w:rsidP="00A81FDC" w14:paraId="49215344" w14:textId="216FE0C5">
            <w:bookmarkStart w:id="0" w:name="Brevdato"/>
            <w:r>
              <w:t>22.03.2023</w:t>
            </w:r>
            <w:bookmarkEnd w:id="0"/>
          </w:p>
        </w:tc>
        <w:tc>
          <w:tcPr>
            <w:tcW w:w="227" w:type="dxa"/>
          </w:tcPr>
          <w:p w:rsidR="003923F7" w:rsidRPr="00E85FCA" w:rsidP="00A81FDC" w14:paraId="1E8427E1" w14:textId="77777777"/>
        </w:tc>
        <w:tc>
          <w:tcPr>
            <w:tcW w:w="2129" w:type="dxa"/>
          </w:tcPr>
          <w:p w:rsidR="003923F7" w:rsidRPr="00E85FCA" w:rsidP="00A81FDC" w14:paraId="4EFAA3DA" w14:textId="77777777">
            <w:bookmarkStart w:id="1" w:name="Saksnr"/>
            <w:r w:rsidRPr="00E85FCA">
              <w:t>2022/11378</w:t>
            </w:r>
            <w:bookmarkEnd w:id="1"/>
          </w:p>
        </w:tc>
      </w:tr>
      <w:tr w14:paraId="691A57F2" w14:textId="77777777" w:rsidTr="00F94139">
        <w:tblPrEx>
          <w:tblW w:w="13401" w:type="dxa"/>
          <w:tblCellMar>
            <w:left w:w="0" w:type="dxa"/>
            <w:right w:w="0" w:type="dxa"/>
          </w:tblCellMar>
          <w:tblLook w:val="04A0"/>
        </w:tblPrEx>
        <w:trPr>
          <w:gridAfter w:val="1"/>
          <w:wAfter w:w="4050" w:type="dxa"/>
        </w:trPr>
        <w:tc>
          <w:tcPr>
            <w:tcW w:w="4627" w:type="dxa"/>
          </w:tcPr>
          <w:p w:rsidR="008C38E0" w:rsidRPr="00E85FCA" w:rsidP="00A81FDC" w14:paraId="65936128" w14:textId="77777777"/>
        </w:tc>
        <w:tc>
          <w:tcPr>
            <w:tcW w:w="193" w:type="dxa"/>
          </w:tcPr>
          <w:p w:rsidR="008C38E0" w:rsidRPr="00E85FCA" w:rsidP="00A81FDC" w14:paraId="62032794" w14:textId="77777777"/>
        </w:tc>
        <w:tc>
          <w:tcPr>
            <w:tcW w:w="2175" w:type="dxa"/>
            <w:gridSpan w:val="3"/>
          </w:tcPr>
          <w:p w:rsidR="008C38E0" w:rsidRPr="00E85FCA" w:rsidP="00A81FDC" w14:paraId="2E123B39" w14:textId="77777777">
            <w:pPr>
              <w:rPr>
                <w:sz w:val="14"/>
                <w:szCs w:val="14"/>
              </w:rPr>
            </w:pPr>
          </w:p>
        </w:tc>
        <w:tc>
          <w:tcPr>
            <w:tcW w:w="227" w:type="dxa"/>
          </w:tcPr>
          <w:p w:rsidR="008C38E0" w:rsidRPr="00E85FCA" w:rsidP="00A81FDC" w14:paraId="0C76C71D" w14:textId="77777777">
            <w:pPr>
              <w:rPr>
                <w:sz w:val="14"/>
                <w:szCs w:val="14"/>
              </w:rPr>
            </w:pPr>
          </w:p>
        </w:tc>
        <w:tc>
          <w:tcPr>
            <w:tcW w:w="2129" w:type="dxa"/>
          </w:tcPr>
          <w:p w:rsidR="008C38E0" w:rsidRPr="00E85FCA" w:rsidP="00A81FDC" w14:paraId="43C14900" w14:textId="77777777">
            <w:pPr>
              <w:rPr>
                <w:sz w:val="14"/>
                <w:szCs w:val="14"/>
              </w:rPr>
            </w:pPr>
          </w:p>
        </w:tc>
      </w:tr>
      <w:tr w14:paraId="3AB2ED08"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32ACBBAD" w14:textId="77777777"/>
        </w:tc>
        <w:tc>
          <w:tcPr>
            <w:tcW w:w="193" w:type="dxa"/>
          </w:tcPr>
          <w:p w:rsidR="003923F7" w:rsidRPr="00E85FCA" w:rsidP="00A81FDC" w14:paraId="27A8B0BE" w14:textId="77777777"/>
        </w:tc>
        <w:tc>
          <w:tcPr>
            <w:tcW w:w="2175" w:type="dxa"/>
            <w:gridSpan w:val="3"/>
          </w:tcPr>
          <w:p w:rsidR="003923F7" w:rsidRPr="00E85FCA" w:rsidP="00A81FDC" w14:paraId="0D913B26" w14:textId="77777777">
            <w:pPr>
              <w:rPr>
                <w:sz w:val="14"/>
                <w:szCs w:val="14"/>
              </w:rPr>
            </w:pPr>
            <w:r w:rsidRPr="00E85FCA">
              <w:rPr>
                <w:sz w:val="14"/>
                <w:szCs w:val="14"/>
              </w:rPr>
              <w:t>Deres dato:</w:t>
            </w:r>
          </w:p>
        </w:tc>
        <w:tc>
          <w:tcPr>
            <w:tcW w:w="227" w:type="dxa"/>
          </w:tcPr>
          <w:p w:rsidR="003923F7" w:rsidRPr="00E85FCA" w:rsidP="00A81FDC" w14:paraId="1796D748" w14:textId="77777777">
            <w:pPr>
              <w:rPr>
                <w:sz w:val="14"/>
                <w:szCs w:val="14"/>
              </w:rPr>
            </w:pPr>
          </w:p>
        </w:tc>
        <w:tc>
          <w:tcPr>
            <w:tcW w:w="2129" w:type="dxa"/>
          </w:tcPr>
          <w:p w:rsidR="003923F7" w:rsidRPr="00E85FCA" w:rsidP="00A81FDC" w14:paraId="10CD9AA9" w14:textId="77777777">
            <w:pPr>
              <w:rPr>
                <w:sz w:val="14"/>
                <w:szCs w:val="14"/>
              </w:rPr>
            </w:pPr>
            <w:r w:rsidRPr="00E85FCA">
              <w:rPr>
                <w:sz w:val="14"/>
                <w:szCs w:val="14"/>
              </w:rPr>
              <w:t xml:space="preserve">Deres </w:t>
            </w:r>
            <w:r w:rsidRPr="00E85FCA">
              <w:rPr>
                <w:sz w:val="14"/>
                <w:szCs w:val="14"/>
              </w:rPr>
              <w:t>ref</w:t>
            </w:r>
            <w:r w:rsidRPr="00E85FCA">
              <w:rPr>
                <w:sz w:val="14"/>
                <w:szCs w:val="14"/>
              </w:rPr>
              <w:t>:</w:t>
            </w:r>
          </w:p>
        </w:tc>
      </w:tr>
      <w:tr w14:paraId="5DDB3DD2"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7D3C291D" w14:textId="77777777"/>
        </w:tc>
        <w:tc>
          <w:tcPr>
            <w:tcW w:w="193" w:type="dxa"/>
          </w:tcPr>
          <w:p w:rsidR="003923F7" w:rsidRPr="00E85FCA" w:rsidP="00A81FDC" w14:paraId="08023C3E" w14:textId="77777777"/>
        </w:tc>
        <w:bookmarkStart w:id="2" w:name="RefDato"/>
        <w:tc>
          <w:tcPr>
            <w:tcW w:w="2175" w:type="dxa"/>
            <w:gridSpan w:val="3"/>
          </w:tcPr>
          <w:p w:rsidR="003923F7" w:rsidRPr="00E85FCA" w:rsidP="00A81FDC" w14:paraId="58CDCFFE" w14:textId="49FFF09D">
            <w:r w:rsidRPr="00E85FCA">
              <w:fldChar w:fldCharType="begin"/>
            </w:r>
            <w:r w:rsidRPr="00E85FCA">
              <w:instrText xml:space="preserve"> MERGEFIELD RefDato\* MERGEFORMAT </w:instrText>
            </w:r>
            <w:r w:rsidRPr="00E85FCA">
              <w:fldChar w:fldCharType="separate"/>
            </w:r>
            <w:r w:rsidR="009057BA">
              <w:rPr>
                <w:noProof/>
              </w:rPr>
              <w:t>«RefDato»</w:t>
            </w:r>
            <w:r w:rsidRPr="00E85FCA">
              <w:fldChar w:fldCharType="end"/>
            </w:r>
            <w:bookmarkEnd w:id="2"/>
          </w:p>
        </w:tc>
        <w:tc>
          <w:tcPr>
            <w:tcW w:w="227" w:type="dxa"/>
          </w:tcPr>
          <w:p w:rsidR="003923F7" w:rsidRPr="00E85FCA" w:rsidP="00A81FDC" w14:paraId="6AB12953" w14:textId="77777777"/>
        </w:tc>
        <w:bookmarkStart w:id="3" w:name="Ref"/>
        <w:tc>
          <w:tcPr>
            <w:tcW w:w="2129" w:type="dxa"/>
          </w:tcPr>
          <w:p w:rsidR="003923F7" w:rsidRPr="00E85FCA" w:rsidP="00A81FDC" w14:paraId="298B3E21" w14:textId="512D5739">
            <w:r w:rsidRPr="00E85FCA">
              <w:fldChar w:fldCharType="begin"/>
            </w:r>
            <w:r w:rsidRPr="00E85FCA">
              <w:instrText xml:space="preserve"> MERGEFIELD Ref\* MERGEFORMAT </w:instrText>
            </w:r>
            <w:r w:rsidRPr="00E85FCA">
              <w:fldChar w:fldCharType="separate"/>
            </w:r>
            <w:r w:rsidR="009057BA">
              <w:rPr>
                <w:noProof/>
              </w:rPr>
              <w:t>«Ref»</w:t>
            </w:r>
            <w:r w:rsidRPr="00E85FCA">
              <w:fldChar w:fldCharType="end"/>
            </w:r>
            <w:bookmarkEnd w:id="3"/>
          </w:p>
        </w:tc>
      </w:tr>
      <w:tr w14:paraId="190DC942" w14:textId="77777777" w:rsidTr="00F94139">
        <w:tblPrEx>
          <w:tblW w:w="13401" w:type="dxa"/>
          <w:tblCellMar>
            <w:left w:w="0" w:type="dxa"/>
            <w:right w:w="0" w:type="dxa"/>
          </w:tblCellMar>
          <w:tblLook w:val="04A0"/>
        </w:tblPrEx>
        <w:trPr>
          <w:gridAfter w:val="1"/>
          <w:wAfter w:w="4050" w:type="dxa"/>
          <w:trHeight w:val="222"/>
        </w:trPr>
        <w:tc>
          <w:tcPr>
            <w:tcW w:w="4820" w:type="dxa"/>
            <w:gridSpan w:val="2"/>
          </w:tcPr>
          <w:p w:rsidR="00FA600C" w:rsidRPr="00E85FCA" w:rsidP="00A81FDC" w14:paraId="3EDF8638" w14:textId="77777777"/>
        </w:tc>
        <w:tc>
          <w:tcPr>
            <w:tcW w:w="2169" w:type="dxa"/>
            <w:gridSpan w:val="2"/>
          </w:tcPr>
          <w:p w:rsidR="00FA600C" w:rsidRPr="00E85FCA" w:rsidP="00A81FDC" w14:paraId="202CDF86" w14:textId="77777777"/>
        </w:tc>
        <w:tc>
          <w:tcPr>
            <w:tcW w:w="2362" w:type="dxa"/>
            <w:gridSpan w:val="3"/>
          </w:tcPr>
          <w:p w:rsidR="00FA600C" w:rsidRPr="00E85FCA" w:rsidP="00A81FDC" w14:paraId="7487CE99" w14:textId="77777777"/>
        </w:tc>
      </w:tr>
      <w:tr w14:paraId="2748C4D2" w14:textId="77777777" w:rsidTr="00F94139">
        <w:tblPrEx>
          <w:tblW w:w="13401" w:type="dxa"/>
          <w:tblCellMar>
            <w:left w:w="0" w:type="dxa"/>
            <w:right w:w="0" w:type="dxa"/>
          </w:tblCellMar>
          <w:tblLook w:val="04A0"/>
        </w:tblPrEx>
        <w:trPr>
          <w:gridAfter w:val="1"/>
          <w:wAfter w:w="4050" w:type="dxa"/>
          <w:trHeight w:val="221"/>
        </w:trPr>
        <w:tc>
          <w:tcPr>
            <w:tcW w:w="4820" w:type="dxa"/>
            <w:gridSpan w:val="2"/>
            <w:vMerge w:val="restart"/>
          </w:tcPr>
          <w:p w:rsidR="00FA600C" w:rsidRPr="00E85FCA" w:rsidP="00A81FDC" w14:paraId="37D46EBC" w14:textId="2FD61B09">
            <w:r>
              <w:t>Etter adresseliste</w:t>
            </w:r>
          </w:p>
          <w:p w:rsidR="00FA600C" w:rsidRPr="00E85FCA" w:rsidP="00A81FDC" w14:paraId="6BA8E641" w14:textId="77777777"/>
        </w:tc>
        <w:tc>
          <w:tcPr>
            <w:tcW w:w="20" w:type="dxa"/>
          </w:tcPr>
          <w:p w:rsidR="00FA600C" w:rsidRPr="00E85FCA" w:rsidP="00A81FDC" w14:paraId="49964226" w14:textId="77777777"/>
        </w:tc>
        <w:tc>
          <w:tcPr>
            <w:tcW w:w="4511" w:type="dxa"/>
            <w:gridSpan w:val="4"/>
          </w:tcPr>
          <w:p w:rsidR="00FA600C" w:rsidRPr="00E85FCA" w:rsidP="00A81FDC" w14:paraId="2474936F" w14:textId="77777777">
            <w:r w:rsidRPr="00E85FCA">
              <w:rPr>
                <w:sz w:val="14"/>
                <w:szCs w:val="14"/>
              </w:rPr>
              <w:t>Saksbehandler, innvalgstelefon</w:t>
            </w:r>
          </w:p>
        </w:tc>
      </w:tr>
      <w:tr w14:paraId="7406F18A" w14:textId="77777777" w:rsidTr="00F94139">
        <w:tblPrEx>
          <w:tblW w:w="13401" w:type="dxa"/>
          <w:tblCellMar>
            <w:left w:w="0" w:type="dxa"/>
            <w:right w:w="0" w:type="dxa"/>
          </w:tblCellMar>
          <w:tblLook w:val="04A0"/>
        </w:tblPrEx>
        <w:trPr>
          <w:gridAfter w:val="1"/>
          <w:wAfter w:w="4050" w:type="dxa"/>
        </w:trPr>
        <w:tc>
          <w:tcPr>
            <w:tcW w:w="4820" w:type="dxa"/>
            <w:gridSpan w:val="2"/>
            <w:vMerge/>
            <w:tcMar>
              <w:left w:w="0" w:type="dxa"/>
              <w:right w:w="0" w:type="dxa"/>
            </w:tcMar>
          </w:tcPr>
          <w:p w:rsidR="00FA600C" w:rsidRPr="00E85FCA" w:rsidP="00A81FDC" w14:paraId="2DB3684F" w14:textId="77777777"/>
        </w:tc>
        <w:tc>
          <w:tcPr>
            <w:tcW w:w="20" w:type="dxa"/>
            <w:tcMar>
              <w:left w:w="0" w:type="dxa"/>
              <w:right w:w="0" w:type="dxa"/>
            </w:tcMar>
          </w:tcPr>
          <w:p w:rsidR="00FA600C" w:rsidRPr="00E85FCA" w:rsidP="003952A7" w14:paraId="56B56521" w14:textId="77777777">
            <w:pPr>
              <w:jc w:val="center"/>
            </w:pPr>
          </w:p>
        </w:tc>
        <w:tc>
          <w:tcPr>
            <w:tcW w:w="4511" w:type="dxa"/>
            <w:gridSpan w:val="4"/>
          </w:tcPr>
          <w:p w:rsidR="00FA600C" w:rsidRPr="00E85FCA" w:rsidP="00A81FDC" w14:paraId="07F5994E" w14:textId="77777777">
            <w:bookmarkStart w:id="4" w:name="SaksbehandlerNavn"/>
            <w:r w:rsidRPr="00E85FCA">
              <w:t>Kjersti Hanssen</w:t>
            </w:r>
            <w:bookmarkEnd w:id="4"/>
            <w:r w:rsidRPr="00E85FCA">
              <w:t xml:space="preserve">, </w:t>
            </w:r>
            <w:bookmarkStart w:id="5" w:name="SaksbehTlf"/>
            <w:bookmarkEnd w:id="5"/>
          </w:p>
        </w:tc>
      </w:tr>
      <w:tr w14:paraId="1575EF9C"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496D41C7" w14:textId="77777777"/>
        </w:tc>
        <w:tc>
          <w:tcPr>
            <w:tcW w:w="20" w:type="dxa"/>
          </w:tcPr>
          <w:p w:rsidR="00FA600C" w:rsidRPr="00E85FCA" w:rsidP="00A81FDC" w14:paraId="7F8158DD" w14:textId="77777777"/>
        </w:tc>
        <w:tc>
          <w:tcPr>
            <w:tcW w:w="4511" w:type="dxa"/>
            <w:gridSpan w:val="4"/>
          </w:tcPr>
          <w:p w:rsidR="00FA600C" w:rsidRPr="00E85FCA" w:rsidP="00A81FDC" w14:paraId="203B13DE" w14:textId="77777777"/>
        </w:tc>
      </w:tr>
      <w:tr w14:paraId="14C083D6" w14:textId="77777777" w:rsidTr="00F94139">
        <w:tblPrEx>
          <w:tblW w:w="13401" w:type="dxa"/>
          <w:tblCellMar>
            <w:left w:w="0" w:type="dxa"/>
            <w:right w:w="0" w:type="dxa"/>
          </w:tblCellMar>
          <w:tblLook w:val="04A0"/>
        </w:tblPrEx>
        <w:trPr>
          <w:gridAfter w:val="1"/>
          <w:wAfter w:w="4050" w:type="dxa"/>
          <w:trHeight w:val="222"/>
        </w:trPr>
        <w:tc>
          <w:tcPr>
            <w:tcW w:w="4820" w:type="dxa"/>
            <w:gridSpan w:val="2"/>
            <w:vMerge/>
          </w:tcPr>
          <w:p w:rsidR="00FA600C" w:rsidRPr="00E85FCA" w:rsidP="00A81FDC" w14:paraId="687603D8" w14:textId="77777777"/>
        </w:tc>
        <w:tc>
          <w:tcPr>
            <w:tcW w:w="4531" w:type="dxa"/>
            <w:gridSpan w:val="5"/>
          </w:tcPr>
          <w:p w:rsidR="00FA600C" w:rsidRPr="00E85FCA" w:rsidP="00A81FDC" w14:paraId="127E5CF3" w14:textId="77777777"/>
        </w:tc>
      </w:tr>
      <w:tr w14:paraId="3B14F45A" w14:textId="77777777" w:rsidTr="00F94139">
        <w:tblPrEx>
          <w:tblW w:w="13401" w:type="dxa"/>
          <w:tblCellMar>
            <w:left w:w="0" w:type="dxa"/>
            <w:right w:w="0" w:type="dxa"/>
          </w:tblCellMar>
          <w:tblLook w:val="04A0"/>
        </w:tblPrEx>
        <w:trPr>
          <w:gridAfter w:val="1"/>
          <w:wAfter w:w="4050" w:type="dxa"/>
          <w:trHeight w:val="135"/>
        </w:trPr>
        <w:tc>
          <w:tcPr>
            <w:tcW w:w="4820" w:type="dxa"/>
            <w:gridSpan w:val="2"/>
            <w:vMerge/>
          </w:tcPr>
          <w:p w:rsidR="00FA600C" w:rsidRPr="00E85FCA" w:rsidP="00A81FDC" w14:paraId="388E6D01" w14:textId="77777777"/>
        </w:tc>
        <w:tc>
          <w:tcPr>
            <w:tcW w:w="4531" w:type="dxa"/>
            <w:gridSpan w:val="5"/>
          </w:tcPr>
          <w:p w:rsidR="00FA600C" w:rsidRPr="00E85FCA" w:rsidP="00A81FDC" w14:paraId="4AF8850C" w14:textId="77777777"/>
        </w:tc>
      </w:tr>
      <w:tr w14:paraId="17E7AC51" w14:textId="77777777" w:rsidTr="00F94139">
        <w:tblPrEx>
          <w:tblW w:w="13401" w:type="dxa"/>
          <w:tblCellMar>
            <w:left w:w="0" w:type="dxa"/>
            <w:right w:w="0" w:type="dxa"/>
          </w:tblCellMar>
          <w:tblLook w:val="04A0"/>
        </w:tblPrEx>
        <w:trPr>
          <w:trHeight w:val="134"/>
        </w:trPr>
        <w:tc>
          <w:tcPr>
            <w:tcW w:w="4820" w:type="dxa"/>
            <w:gridSpan w:val="2"/>
            <w:vMerge/>
          </w:tcPr>
          <w:p w:rsidR="00FA600C" w:rsidRPr="00E85FCA" w:rsidP="00A81FDC" w14:paraId="2DEEF61D" w14:textId="77777777"/>
        </w:tc>
        <w:tc>
          <w:tcPr>
            <w:tcW w:w="4531" w:type="dxa"/>
            <w:gridSpan w:val="5"/>
          </w:tcPr>
          <w:p w:rsidR="00FA600C" w:rsidRPr="00E85FCA" w:rsidP="00A81FDC" w14:paraId="43649312" w14:textId="77777777">
            <w:pPr>
              <w:rPr>
                <w:sz w:val="18"/>
              </w:rPr>
            </w:pPr>
            <w:bookmarkStart w:id="6" w:name="UoffParagraf"/>
            <w:bookmarkEnd w:id="6"/>
          </w:p>
        </w:tc>
        <w:tc>
          <w:tcPr>
            <w:tcW w:w="4050" w:type="dxa"/>
          </w:tcPr>
          <w:p w:rsidR="00FA600C" w:rsidRPr="00E85FCA" w14:paraId="046AFFE5" w14:textId="77777777">
            <w:pPr>
              <w:spacing w:after="160" w:line="259" w:lineRule="auto"/>
            </w:pPr>
          </w:p>
        </w:tc>
      </w:tr>
      <w:tr w14:paraId="46BE272E"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2DCA54C7" w14:textId="77777777"/>
        </w:tc>
        <w:tc>
          <w:tcPr>
            <w:tcW w:w="20" w:type="dxa"/>
          </w:tcPr>
          <w:p w:rsidR="00FA600C" w:rsidRPr="00E85FCA" w:rsidP="00A81FDC" w14:paraId="4623165B" w14:textId="77777777"/>
        </w:tc>
        <w:tc>
          <w:tcPr>
            <w:tcW w:w="4511" w:type="dxa"/>
            <w:gridSpan w:val="4"/>
          </w:tcPr>
          <w:p w:rsidR="00FA600C" w:rsidRPr="00E85FCA" w:rsidP="00A81FDC" w14:paraId="4B1D8683" w14:textId="77777777"/>
        </w:tc>
      </w:tr>
    </w:tbl>
    <w:p w:rsidR="00B67D60" w:rsidRPr="00E85FCA" w:rsidP="00A81FDC" w14:paraId="07F1F684" w14:textId="77777777">
      <w:pPr>
        <w:sectPr w:rsidSect="008C38E0">
          <w:headerReference w:type="even" r:id="rId6"/>
          <w:headerReference w:type="default" r:id="rId7"/>
          <w:footerReference w:type="even" r:id="rId8"/>
          <w:footerReference w:type="default" r:id="rId9"/>
          <w:headerReference w:type="first" r:id="rId10"/>
          <w:footerReference w:type="first" r:id="rId11"/>
          <w:pgSz w:w="11906" w:h="16838"/>
          <w:pgMar w:top="851" w:right="1106" w:bottom="1531" w:left="1418" w:header="709" w:footer="709" w:gutter="0"/>
          <w:cols w:space="708"/>
          <w:titlePg/>
          <w:docGrid w:linePitch="360"/>
        </w:sectPr>
      </w:pPr>
      <w:bookmarkStart w:id="7" w:name="Fasttabell"/>
      <w:bookmarkEnd w:id="7"/>
    </w:p>
    <w:p w:rsidR="00226258" w:rsidRPr="00E85FCA" w:rsidP="00A81FDC" w14:paraId="688AE185" w14:textId="77777777"/>
    <w:p w:rsidR="00D25182" w:rsidRPr="00E85FCA" w:rsidP="00D25182" w14:paraId="6649963C" w14:textId="77777777">
      <w:pPr>
        <w:pStyle w:val="Heading1"/>
      </w:pPr>
      <w:bookmarkStart w:id="8" w:name="Tittel"/>
      <w:r w:rsidRPr="00E85FCA">
        <w:t>Ekstra høringsrunde angående munningsfredningssone</w:t>
      </w:r>
      <w:r>
        <w:t xml:space="preserve">r knyttet til </w:t>
      </w:r>
      <w:r w:rsidRPr="00E85FCA">
        <w:t>Skauga</w:t>
      </w:r>
      <w:r>
        <w:t xml:space="preserve"> og</w:t>
      </w:r>
      <w:r w:rsidRPr="00E85FCA">
        <w:t xml:space="preserve"> </w:t>
      </w:r>
      <w:r w:rsidRPr="00E85FCA">
        <w:t>Flyta</w:t>
      </w:r>
      <w:r w:rsidRPr="00E85FCA">
        <w:t xml:space="preserve"> i Indre Fosen kommun</w:t>
      </w:r>
      <w:r>
        <w:t>e</w:t>
      </w:r>
    </w:p>
    <w:p w:rsidR="00D25182" w:rsidRPr="00FC6DD0" w:rsidP="00D25182" w14:paraId="3015781B" w14:textId="21157164">
      <w:pPr>
        <w:rPr>
          <w:b/>
          <w:bCs/>
        </w:rPr>
      </w:pPr>
      <w:r w:rsidRPr="00E624D0">
        <w:rPr>
          <w:b/>
          <w:bCs/>
        </w:rPr>
        <w:t xml:space="preserve">Statsforvalteren har tatt imot innspill knyttet til munningsfredningssonen til </w:t>
      </w:r>
      <w:r w:rsidRPr="00E624D0">
        <w:rPr>
          <w:b/>
          <w:bCs/>
        </w:rPr>
        <w:t>Flyta</w:t>
      </w:r>
      <w:r w:rsidRPr="00E624D0">
        <w:rPr>
          <w:b/>
          <w:bCs/>
        </w:rPr>
        <w:t xml:space="preserve"> og </w:t>
      </w:r>
      <w:r w:rsidRPr="00E624D0">
        <w:rPr>
          <w:b/>
          <w:bCs/>
        </w:rPr>
        <w:t>Skauga</w:t>
      </w:r>
      <w:r w:rsidRPr="00E624D0">
        <w:rPr>
          <w:b/>
          <w:bCs/>
        </w:rPr>
        <w:t xml:space="preserve"> i ordinær høringsrunde</w:t>
      </w:r>
      <w:r>
        <w:rPr>
          <w:b/>
          <w:bCs/>
        </w:rPr>
        <w:t xml:space="preserve">. På bakgrunn av innspillene, høres det </w:t>
      </w:r>
      <w:r w:rsidRPr="00E624D0">
        <w:rPr>
          <w:b/>
          <w:bCs/>
        </w:rPr>
        <w:t xml:space="preserve">nå på </w:t>
      </w:r>
      <w:r>
        <w:rPr>
          <w:b/>
          <w:bCs/>
        </w:rPr>
        <w:t>to ulike</w:t>
      </w:r>
      <w:r w:rsidRPr="00E624D0">
        <w:rPr>
          <w:b/>
          <w:bCs/>
        </w:rPr>
        <w:t xml:space="preserve"> munningsfredningssoner</w:t>
      </w:r>
      <w:r>
        <w:rPr>
          <w:b/>
          <w:bCs/>
        </w:rPr>
        <w:t xml:space="preserve">, en for </w:t>
      </w:r>
      <w:r>
        <w:rPr>
          <w:b/>
          <w:bCs/>
        </w:rPr>
        <w:t>Skauga</w:t>
      </w:r>
      <w:r>
        <w:rPr>
          <w:b/>
          <w:bCs/>
        </w:rPr>
        <w:t xml:space="preserve"> og en for </w:t>
      </w:r>
      <w:r>
        <w:rPr>
          <w:b/>
          <w:bCs/>
        </w:rPr>
        <w:t>Flyta</w:t>
      </w:r>
      <w:r w:rsidRPr="00E624D0">
        <w:rPr>
          <w:b/>
          <w:bCs/>
        </w:rPr>
        <w:t>. Det</w:t>
      </w:r>
      <w:r>
        <w:rPr>
          <w:b/>
          <w:bCs/>
        </w:rPr>
        <w:t>te</w:t>
      </w:r>
      <w:r w:rsidRPr="00E624D0">
        <w:rPr>
          <w:b/>
          <w:bCs/>
        </w:rPr>
        <w:t xml:space="preserve"> sendes ut </w:t>
      </w:r>
      <w:r>
        <w:rPr>
          <w:b/>
          <w:bCs/>
        </w:rPr>
        <w:t xml:space="preserve">på </w:t>
      </w:r>
      <w:r w:rsidRPr="00E624D0">
        <w:rPr>
          <w:b/>
          <w:bCs/>
        </w:rPr>
        <w:t>en ekstra høringsrunde</w:t>
      </w:r>
      <w:r>
        <w:rPr>
          <w:b/>
          <w:bCs/>
        </w:rPr>
        <w:t xml:space="preserve">. </w:t>
      </w:r>
      <w:r w:rsidRPr="00E624D0">
        <w:rPr>
          <w:b/>
          <w:bCs/>
        </w:rPr>
        <w:t xml:space="preserve"> </w:t>
      </w:r>
      <w:r>
        <w:rPr>
          <w:b/>
          <w:bCs/>
        </w:rPr>
        <w:t>Høringen sendes til mottakere med antatt berørte interesser. Vi ber deg videresende til andre, som vi eventuelt har oversett.</w:t>
      </w:r>
      <w:r w:rsidRPr="00E624D0">
        <w:rPr>
          <w:b/>
          <w:bCs/>
        </w:rPr>
        <w:t xml:space="preserve"> </w:t>
      </w:r>
      <w:r>
        <w:rPr>
          <w:b/>
          <w:bCs/>
        </w:rPr>
        <w:t xml:space="preserve">Frist </w:t>
      </w:r>
      <w:r w:rsidR="009057BA">
        <w:rPr>
          <w:b/>
          <w:bCs/>
        </w:rPr>
        <w:t xml:space="preserve">for å gi innspill er </w:t>
      </w:r>
      <w:r w:rsidR="00F06CE1">
        <w:rPr>
          <w:b/>
          <w:bCs/>
        </w:rPr>
        <w:t>10</w:t>
      </w:r>
      <w:r>
        <w:rPr>
          <w:b/>
          <w:bCs/>
        </w:rPr>
        <w:t>. mai.</w:t>
      </w:r>
    </w:p>
    <w:p w:rsidR="00D25182" w:rsidP="00D25182" w14:paraId="42AD6466" w14:textId="77777777"/>
    <w:p w:rsidR="00D25182" w:rsidRPr="00F846FE" w:rsidP="00D25182" w14:paraId="10F16690" w14:textId="77777777">
      <w:pPr>
        <w:rPr>
          <w:i/>
          <w:iCs/>
        </w:rPr>
      </w:pPr>
      <w:r w:rsidRPr="00F846FE">
        <w:rPr>
          <w:i/>
          <w:iCs/>
        </w:rPr>
        <w:t>Bakgrunn</w:t>
      </w:r>
    </w:p>
    <w:p w:rsidR="00D25182" w:rsidRPr="00F846FE" w:rsidP="00D25182" w14:paraId="17F85D0F" w14:textId="77777777">
      <w:r>
        <w:t xml:space="preserve">I høringen om munningsfredningssonene utenfor </w:t>
      </w:r>
      <w:r>
        <w:t>anadrome</w:t>
      </w:r>
      <w:r>
        <w:t xml:space="preserve"> vassdrag i Trøndelag kom det svar fra Indre Fosen kommune og Nordre Fosen vannområde, som viste til at Botn er betraktet som sjø når det gjelder forhold knyttet til fiskeinteresser lokalt (Flerbruksplan, 1999 - vedlagt), mens den blir vurdert som vassdrag når det gjelder vassdragslovgivningen. Vi tar høringsuttalelsene fra Indre Fosen kommune </w:t>
      </w:r>
      <w:r w:rsidRPr="00F846FE">
        <w:t>med henvisning til Botn sin status som sjø og viktig høstings- og rekreasjonsområde for allmennheten</w:t>
      </w:r>
      <w:r>
        <w:t xml:space="preserve"> til etterretning i vår behandling etter laks- og innlandsfiskeloven. Vi vil derfor i kommende høring for grense elv-sjø flytte grense elv/ sjø for </w:t>
      </w:r>
      <w:r>
        <w:t>Flyta</w:t>
      </w:r>
      <w:r>
        <w:t xml:space="preserve"> ca. 4,5 km inn i Botn til der </w:t>
      </w:r>
      <w:r>
        <w:t>Flyta</w:t>
      </w:r>
      <w:r>
        <w:t xml:space="preserve"> renner ut i Botn.</w:t>
      </w:r>
      <w:r w:rsidRPr="00F846FE">
        <w:t xml:space="preserve"> </w:t>
      </w:r>
    </w:p>
    <w:p w:rsidR="00D25182" w:rsidP="00D25182" w14:paraId="2E16CB83" w14:textId="77777777"/>
    <w:p w:rsidR="00D25182" w:rsidRPr="000A0548" w:rsidP="00D25182" w14:paraId="3B8A29DF" w14:textId="77777777">
      <w:pPr>
        <w:rPr>
          <w:rStyle w:val="Hyperlink"/>
          <w:rFonts w:ascii="Calibri" w:hAnsi="Calibri" w:cs="Calibri"/>
          <w:i/>
          <w:iCs/>
          <w:sz w:val="22"/>
          <w:szCs w:val="22"/>
        </w:rPr>
      </w:pPr>
      <w:r w:rsidRPr="00FC6DD0">
        <w:rPr>
          <w:i/>
          <w:iCs/>
        </w:rPr>
        <w:t xml:space="preserve">Denne endringen gir </w:t>
      </w:r>
      <w:r w:rsidRPr="000A0548">
        <w:rPr>
          <w:i/>
          <w:iCs/>
        </w:rPr>
        <w:t xml:space="preserve">effekt også for munningsfredningssonen i dette området, som nå foreslås endret fra en til to soner. </w:t>
      </w:r>
      <w:r w:rsidRPr="000A0548">
        <w:rPr>
          <w:rStyle w:val="fontstyle01"/>
          <w:i/>
          <w:iCs/>
        </w:rPr>
        <w:t>Deler av Botn og Straumen</w:t>
      </w:r>
      <w:r>
        <w:rPr>
          <w:rStyle w:val="fontstyle01"/>
          <w:i/>
          <w:iCs/>
        </w:rPr>
        <w:t xml:space="preserve">, som inngår som en del av sonen utenfor </w:t>
      </w:r>
      <w:r>
        <w:rPr>
          <w:rStyle w:val="fontstyle01"/>
          <w:i/>
          <w:iCs/>
        </w:rPr>
        <w:t>Skauga</w:t>
      </w:r>
      <w:r>
        <w:rPr>
          <w:rStyle w:val="fontstyle01"/>
          <w:i/>
          <w:iCs/>
        </w:rPr>
        <w:t>,</w:t>
      </w:r>
      <w:r w:rsidRPr="000A0548">
        <w:rPr>
          <w:rStyle w:val="fontstyle01"/>
          <w:i/>
          <w:iCs/>
        </w:rPr>
        <w:t xml:space="preserve"> blir da munningsfredningssoner med særskilte regler for beskyttelse av laksefisk. Da dette er en omfattende endring fra </w:t>
      </w:r>
      <w:r>
        <w:rPr>
          <w:rStyle w:val="fontstyle01"/>
          <w:i/>
          <w:iCs/>
        </w:rPr>
        <w:t xml:space="preserve">opprinnelig </w:t>
      </w:r>
      <w:r w:rsidRPr="000A0548">
        <w:rPr>
          <w:rStyle w:val="fontstyle01"/>
          <w:i/>
          <w:iCs/>
        </w:rPr>
        <w:t xml:space="preserve">høringsforslag, vil vi sende </w:t>
      </w:r>
      <w:r>
        <w:rPr>
          <w:i/>
          <w:iCs/>
        </w:rPr>
        <w:t>n</w:t>
      </w:r>
      <w:r w:rsidRPr="000A0548">
        <w:rPr>
          <w:i/>
          <w:iCs/>
        </w:rPr>
        <w:t xml:space="preserve">ytt forslag om to ulike munningsfredningssoner på </w:t>
      </w:r>
      <w:r w:rsidRPr="000A0548">
        <w:rPr>
          <w:i/>
          <w:iCs/>
          <w:u w:val="single"/>
        </w:rPr>
        <w:t>andre gangs høring</w:t>
      </w:r>
      <w:r w:rsidRPr="000A0548">
        <w:rPr>
          <w:i/>
          <w:iCs/>
        </w:rPr>
        <w:t>.</w:t>
      </w:r>
      <w:r>
        <w:rPr>
          <w:i/>
          <w:iCs/>
        </w:rPr>
        <w:t xml:space="preserve"> </w:t>
      </w:r>
      <w:r>
        <w:rPr>
          <w:i/>
          <w:iCs/>
        </w:rPr>
        <w:fldChar w:fldCharType="begin"/>
      </w:r>
      <w:r>
        <w:rPr>
          <w:i/>
          <w:iCs/>
        </w:rPr>
        <w:instrText xml:space="preserve"> HYPERLINK "https://kart.gislink.no/portal/apps/opsdashboard/index.html" \l "/6695efa3f36444fea4f820f2b969acea" </w:instrText>
      </w:r>
      <w:r>
        <w:rPr>
          <w:i/>
          <w:iCs/>
        </w:rPr>
        <w:fldChar w:fldCharType="separate"/>
      </w:r>
      <w:r w:rsidRPr="000A0548">
        <w:rPr>
          <w:rStyle w:val="Hyperlink"/>
          <w:i/>
          <w:iCs/>
        </w:rPr>
        <w:t>De nye sonene kan sees i kartinnsynet for munningsfredningssoner.</w:t>
      </w:r>
    </w:p>
    <w:p w:rsidR="00D25182" w:rsidP="00D25182" w14:paraId="3E751C37" w14:textId="77777777">
      <w:pPr>
        <w:rPr>
          <w:i/>
          <w:iCs/>
        </w:rPr>
      </w:pPr>
      <w:r>
        <w:rPr>
          <w:i/>
          <w:iCs/>
        </w:rPr>
        <w:fldChar w:fldCharType="end"/>
      </w:r>
    </w:p>
    <w:p w:rsidR="00D25182" w:rsidRPr="000A0548" w:rsidP="00D25182" w14:paraId="2DC83968" w14:textId="77777777">
      <w:r w:rsidRPr="000A0548">
        <w:t>Flyta</w:t>
      </w:r>
      <w:r w:rsidRPr="000A0548">
        <w:t xml:space="preserve"> er anadrom, registrert med bestander av både sjøaure (moderat tilstand, VRL innsyn</w:t>
      </w:r>
      <w:r>
        <w:rPr>
          <w:rStyle w:val="FootnoteReference"/>
        </w:rPr>
        <w:footnoteReference w:id="2"/>
      </w:r>
      <w:r w:rsidRPr="000A0548">
        <w:t xml:space="preserve">), laks (dårlig tilstand, lakseregisteret), ål og elvemusling. </w:t>
      </w:r>
      <w:r w:rsidRPr="000A0548">
        <w:t>Flyta</w:t>
      </w:r>
      <w:r w:rsidRPr="000A0548">
        <w:t xml:space="preserve"> er den eneste elva i Botn som er registrert i lakseregisteret, og den er ikke åpnet for fiske. Det er begrenset kunnskap om fiskebestandene og hvordan de bruker Straumen og Botn. Nyere kunnskap fra andre lignende områder viser at store innsjøer kan ha viktig funksjon for flere bestander i et større geografisk område (for overvintring blant annet).</w:t>
      </w:r>
    </w:p>
    <w:p w:rsidR="00D25182" w:rsidP="00D25182" w14:paraId="754F12EF" w14:textId="77777777"/>
    <w:p w:rsidR="00D25182" w:rsidP="00D25182" w14:paraId="759657F4" w14:textId="77777777">
      <w:pPr>
        <w:rPr>
          <w:i/>
          <w:iCs/>
        </w:rPr>
      </w:pPr>
      <w:r>
        <w:rPr>
          <w:i/>
          <w:iCs/>
        </w:rPr>
        <w:t>Nye soner</w:t>
      </w:r>
    </w:p>
    <w:p w:rsidR="00D25182" w:rsidP="00D25182" w14:paraId="23B912AB" w14:textId="77777777">
      <w:r w:rsidRPr="006E15B2">
        <w:rPr>
          <w:i/>
          <w:iCs/>
        </w:rPr>
        <w:t>Sone 1:</w:t>
      </w:r>
      <w:r>
        <w:t xml:space="preserve"> Ny munningsfredningssone fra utløpet av </w:t>
      </w:r>
      <w:r>
        <w:t>Flyta</w:t>
      </w:r>
      <w:r>
        <w:t xml:space="preserve"> og ut til en rettlinjet grense mellom nes ved </w:t>
      </w:r>
      <w:r>
        <w:t>Litjnaust</w:t>
      </w:r>
      <w:r>
        <w:t xml:space="preserve"> og naust ved neset utenfor Solstad. </w:t>
      </w:r>
    </w:p>
    <w:p w:rsidR="00D25182" w:rsidP="00D25182" w14:paraId="0E0DFAAC" w14:textId="77777777"/>
    <w:p w:rsidR="00D25182" w:rsidP="00D25182" w14:paraId="49565613" w14:textId="77777777">
      <w:r w:rsidRPr="006E15B2">
        <w:rPr>
          <w:i/>
          <w:iCs/>
        </w:rPr>
        <w:t>Sone 2:</w:t>
      </w:r>
      <w:r>
        <w:t xml:space="preserve"> Munningsfredningssonen utenfor </w:t>
      </w:r>
      <w:r>
        <w:t>Skauga</w:t>
      </w:r>
      <w:r>
        <w:t xml:space="preserve"> videreføres som foreslått, men ytre grense mot sjøen justeres noe inn for å ta hensyn til den aktive </w:t>
      </w:r>
      <w:r>
        <w:t>notplassen</w:t>
      </w:r>
      <w:r>
        <w:t xml:space="preserve"> ved Jomfruskjæret. Denne sonen avgrenses mot Botn ved en rettlinjet grense ca. 30 meter øst for bro ved Rissa sentrum.</w:t>
      </w:r>
    </w:p>
    <w:p w:rsidR="00D25182" w:rsidP="00D25182" w14:paraId="1030FC95" w14:textId="77777777"/>
    <w:tbl>
      <w:tblPr>
        <w:tblStyle w:val="TableGrid"/>
        <w:tblW w:w="9393" w:type="dxa"/>
        <w:tblLook w:val="04A0"/>
      </w:tblPr>
      <w:tblGrid>
        <w:gridCol w:w="1193"/>
        <w:gridCol w:w="1955"/>
        <w:gridCol w:w="1786"/>
        <w:gridCol w:w="2605"/>
        <w:gridCol w:w="1854"/>
      </w:tblGrid>
      <w:tr w14:paraId="68EB48D7" w14:textId="77777777" w:rsidTr="00C228C0">
        <w:tblPrEx>
          <w:tblW w:w="9393" w:type="dxa"/>
          <w:tblLook w:val="04A0"/>
        </w:tblPrEx>
        <w:trPr>
          <w:trHeight w:val="821"/>
        </w:trPr>
        <w:tc>
          <w:tcPr>
            <w:tcW w:w="1193" w:type="dxa"/>
          </w:tcPr>
          <w:p w:rsidR="00D25182" w:rsidP="00C228C0" w14:paraId="4256A643" w14:textId="77777777">
            <w:bookmarkStart w:id="9" w:name="_Hlk130212033"/>
            <w:r>
              <w:t>Kommune</w:t>
            </w:r>
          </w:p>
        </w:tc>
        <w:tc>
          <w:tcPr>
            <w:tcW w:w="1955" w:type="dxa"/>
          </w:tcPr>
          <w:p w:rsidR="00D25182" w:rsidP="00C228C0" w14:paraId="113532C8" w14:textId="77777777">
            <w:r>
              <w:t>Vassdrag og vassdragsnummer</w:t>
            </w:r>
          </w:p>
        </w:tc>
        <w:tc>
          <w:tcPr>
            <w:tcW w:w="1786" w:type="dxa"/>
          </w:tcPr>
          <w:p w:rsidR="00D25182" w:rsidP="00C228C0" w14:paraId="40E9DF59" w14:textId="77777777">
            <w:r>
              <w:t>Soneforklaring (ytre grense for munningssonen)</w:t>
            </w:r>
          </w:p>
        </w:tc>
        <w:tc>
          <w:tcPr>
            <w:tcW w:w="2605" w:type="dxa"/>
          </w:tcPr>
          <w:p w:rsidR="00D25182" w:rsidP="00C228C0" w14:paraId="672A381D" w14:textId="77777777">
            <w:pPr>
              <w:rPr>
                <w:rFonts w:ascii="Calibri" w:eastAsia="Times New Roman" w:hAnsi="Calibri" w:cs="Calibri"/>
                <w:color w:val="000000"/>
                <w:szCs w:val="22"/>
                <w:lang w:eastAsia="nb-NO"/>
              </w:rPr>
            </w:pPr>
            <w:r>
              <w:rPr>
                <w:rFonts w:ascii="Calibri" w:eastAsia="Times New Roman" w:hAnsi="Calibri" w:cs="Calibri"/>
                <w:color w:val="000000"/>
                <w:lang w:eastAsia="nb-NO"/>
              </w:rPr>
              <w:t>Koordinatfestet yttergrense (Euref89 sone33)</w:t>
            </w:r>
          </w:p>
          <w:p w:rsidR="00D25182" w:rsidP="00C228C0" w14:paraId="59B7A81F" w14:textId="77777777"/>
        </w:tc>
        <w:tc>
          <w:tcPr>
            <w:tcW w:w="1854" w:type="dxa"/>
          </w:tcPr>
          <w:p w:rsidR="00D25182" w:rsidP="00C228C0" w14:paraId="75B98334" w14:textId="77777777">
            <w:r>
              <w:t>Lengde</w:t>
            </w:r>
          </w:p>
        </w:tc>
      </w:tr>
      <w:tr w14:paraId="52E15981" w14:textId="77777777" w:rsidTr="00C228C0">
        <w:tblPrEx>
          <w:tblW w:w="9393" w:type="dxa"/>
          <w:tblLook w:val="04A0"/>
        </w:tblPrEx>
        <w:trPr>
          <w:trHeight w:val="1507"/>
        </w:trPr>
        <w:tc>
          <w:tcPr>
            <w:tcW w:w="1193" w:type="dxa"/>
          </w:tcPr>
          <w:p w:rsidR="00D25182" w:rsidP="00C228C0" w14:paraId="25565020" w14:textId="77777777">
            <w:r>
              <w:t>Indre Fosen</w:t>
            </w:r>
          </w:p>
        </w:tc>
        <w:tc>
          <w:tcPr>
            <w:tcW w:w="1955" w:type="dxa"/>
          </w:tcPr>
          <w:p w:rsidR="00D25182" w:rsidP="00C228C0" w14:paraId="7B4CA44D" w14:textId="77777777">
            <w:r>
              <w:t>Skauga</w:t>
            </w:r>
            <w:r>
              <w:t xml:space="preserve"> 132.A1</w:t>
            </w:r>
          </w:p>
        </w:tc>
        <w:tc>
          <w:tcPr>
            <w:tcW w:w="1786" w:type="dxa"/>
          </w:tcPr>
          <w:p w:rsidR="00D25182" w:rsidRPr="00D07A3E" w:rsidP="00C228C0" w14:paraId="46482585" w14:textId="697A60D0">
            <w:pPr>
              <w:rPr>
                <w:rFonts w:ascii="Calibri" w:eastAsia="Times New Roman" w:hAnsi="Calibri" w:cs="Calibri"/>
                <w:color w:val="000000"/>
                <w:lang w:eastAsia="nb-NO"/>
              </w:rPr>
            </w:pPr>
            <w:r>
              <w:rPr>
                <w:rFonts w:ascii="Calibri" w:eastAsia="Times New Roman" w:hAnsi="Calibri" w:cs="Calibri"/>
                <w:color w:val="000000"/>
                <w:lang w:eastAsia="nb-NO"/>
              </w:rPr>
              <w:t xml:space="preserve">En rett linje trukket fra nes utenfor østre </w:t>
            </w:r>
            <w:r>
              <w:rPr>
                <w:rFonts w:ascii="Calibri" w:eastAsia="Times New Roman" w:hAnsi="Calibri" w:cs="Calibri"/>
                <w:color w:val="000000"/>
                <w:lang w:eastAsia="nb-NO"/>
              </w:rPr>
              <w:t>Langsæter</w:t>
            </w:r>
            <w:r>
              <w:rPr>
                <w:rFonts w:ascii="Calibri" w:eastAsia="Times New Roman" w:hAnsi="Calibri" w:cs="Calibri"/>
                <w:color w:val="000000"/>
                <w:lang w:eastAsia="nb-NO"/>
              </w:rPr>
              <w:t xml:space="preserve"> til grense mellom </w:t>
            </w:r>
            <w:r w:rsidRPr="00D07A3E">
              <w:rPr>
                <w:rFonts w:ascii="Calibri" w:eastAsia="Times New Roman" w:hAnsi="Calibri" w:cs="Calibri"/>
                <w:color w:val="000000"/>
                <w:lang w:eastAsia="nb-NO"/>
              </w:rPr>
              <w:t>eiendommene 57/8,26 og 57/9</w:t>
            </w:r>
            <w:r>
              <w:rPr>
                <w:rFonts w:ascii="Calibri" w:eastAsia="Times New Roman" w:hAnsi="Calibri" w:cs="Calibri"/>
                <w:color w:val="000000"/>
                <w:lang w:eastAsia="nb-NO"/>
              </w:rPr>
              <w:t xml:space="preserve"> ved Lysheim. Avgrenses mot Botn ved en rettlinjet grense mellom </w:t>
            </w:r>
            <w:r w:rsidR="00AE62C9">
              <w:rPr>
                <w:rFonts w:ascii="Calibri" w:eastAsia="Times New Roman" w:hAnsi="Calibri" w:cs="Calibri"/>
                <w:color w:val="000000"/>
                <w:lang w:eastAsia="nb-NO"/>
              </w:rPr>
              <w:t>sørligste punkt ved Strømmen og nordøstligste punkt ved Verket.</w:t>
            </w:r>
          </w:p>
          <w:p w:rsidR="00D25182" w:rsidP="00C228C0" w14:paraId="58D4296B" w14:textId="77777777"/>
        </w:tc>
        <w:tc>
          <w:tcPr>
            <w:tcW w:w="2605" w:type="dxa"/>
            <w:shd w:val="clear" w:color="auto" w:fill="auto"/>
          </w:tcPr>
          <w:tbl>
            <w:tblPr>
              <w:tblW w:w="2057" w:type="dxa"/>
              <w:tblCellMar>
                <w:left w:w="70" w:type="dxa"/>
                <w:right w:w="70" w:type="dxa"/>
              </w:tblCellMar>
              <w:tblLook w:val="04A0"/>
            </w:tblPr>
            <w:tblGrid>
              <w:gridCol w:w="2057"/>
            </w:tblGrid>
            <w:tr w14:paraId="39BD183E" w14:textId="77777777" w:rsidTr="00C228C0">
              <w:tblPrEx>
                <w:tblW w:w="2057" w:type="dxa"/>
                <w:tblCellMar>
                  <w:left w:w="70" w:type="dxa"/>
                  <w:right w:w="70" w:type="dxa"/>
                </w:tblCellMar>
                <w:tblLook w:val="04A0"/>
              </w:tblPrEx>
              <w:trPr>
                <w:trHeight w:val="301"/>
              </w:trPr>
              <w:tc>
                <w:tcPr>
                  <w:tcW w:w="2057" w:type="dxa"/>
                  <w:shd w:val="clear" w:color="auto" w:fill="auto"/>
                  <w:noWrap/>
                  <w:vAlign w:val="bottom"/>
                  <w:hideMark/>
                </w:tcPr>
                <w:p w:rsidR="00D25182" w:rsidRPr="00D07A3E" w:rsidP="00C228C0" w14:paraId="5E45E05C" w14:textId="77777777">
                  <w:pPr>
                    <w:rPr>
                      <w:rFonts w:ascii="Calibri" w:eastAsia="Times New Roman" w:hAnsi="Calibri" w:cs="Calibri"/>
                      <w:color w:val="000000"/>
                      <w:lang w:eastAsia="nb-NO"/>
                    </w:rPr>
                  </w:pPr>
                  <w:r w:rsidRPr="00D07A3E">
                    <w:rPr>
                      <w:rFonts w:ascii="Calibri" w:eastAsia="Times New Roman" w:hAnsi="Calibri" w:cs="Calibri"/>
                      <w:color w:val="000000"/>
                      <w:lang w:eastAsia="nb-NO"/>
                    </w:rPr>
                    <w:t xml:space="preserve">1. </w:t>
                  </w:r>
                  <w:r w:rsidRPr="00D07A3E">
                    <w:rPr>
                      <w:rFonts w:ascii="Calibri" w:eastAsia="Times New Roman" w:hAnsi="Calibri" w:cs="Calibri"/>
                      <w:color w:val="000000"/>
                      <w:lang w:eastAsia="nb-NO"/>
                    </w:rPr>
                    <w:t>247339 ,</w:t>
                  </w:r>
                  <w:r w:rsidRPr="00D07A3E">
                    <w:rPr>
                      <w:rFonts w:ascii="Calibri" w:eastAsia="Times New Roman" w:hAnsi="Calibri" w:cs="Calibri"/>
                      <w:color w:val="000000"/>
                      <w:lang w:eastAsia="nb-NO"/>
                    </w:rPr>
                    <w:t xml:space="preserve"> 7061553</w:t>
                  </w:r>
                </w:p>
              </w:tc>
            </w:tr>
            <w:tr w14:paraId="11A564DE" w14:textId="77777777" w:rsidTr="00C228C0">
              <w:tblPrEx>
                <w:tblW w:w="2057" w:type="dxa"/>
                <w:tblCellMar>
                  <w:left w:w="70" w:type="dxa"/>
                  <w:right w:w="70" w:type="dxa"/>
                </w:tblCellMar>
                <w:tblLook w:val="04A0"/>
              </w:tblPrEx>
              <w:trPr>
                <w:trHeight w:val="301"/>
              </w:trPr>
              <w:tc>
                <w:tcPr>
                  <w:tcW w:w="2057" w:type="dxa"/>
                  <w:shd w:val="clear" w:color="auto" w:fill="auto"/>
                  <w:noWrap/>
                  <w:vAlign w:val="bottom"/>
                  <w:hideMark/>
                </w:tcPr>
                <w:p w:rsidR="00D25182" w:rsidRPr="00D07A3E" w:rsidP="00C228C0" w14:paraId="2657CECD" w14:textId="77777777">
                  <w:pPr>
                    <w:rPr>
                      <w:rFonts w:ascii="Calibri" w:eastAsia="Times New Roman" w:hAnsi="Calibri" w:cs="Calibri"/>
                      <w:color w:val="000000"/>
                      <w:lang w:eastAsia="nb-NO"/>
                    </w:rPr>
                  </w:pPr>
                  <w:r w:rsidRPr="00D07A3E">
                    <w:rPr>
                      <w:rFonts w:ascii="Calibri" w:eastAsia="Times New Roman" w:hAnsi="Calibri" w:cs="Calibri"/>
                      <w:color w:val="000000"/>
                      <w:lang w:eastAsia="nb-NO"/>
                    </w:rPr>
                    <w:t xml:space="preserve">2. </w:t>
                  </w:r>
                  <w:r w:rsidRPr="00D07A3E">
                    <w:rPr>
                      <w:rFonts w:ascii="Calibri" w:eastAsia="Times New Roman" w:hAnsi="Calibri" w:cs="Calibri"/>
                      <w:color w:val="000000"/>
                      <w:lang w:eastAsia="nb-NO"/>
                    </w:rPr>
                    <w:t>247952 ,</w:t>
                  </w:r>
                  <w:r w:rsidRPr="00D07A3E">
                    <w:rPr>
                      <w:rFonts w:ascii="Calibri" w:eastAsia="Times New Roman" w:hAnsi="Calibri" w:cs="Calibri"/>
                      <w:color w:val="000000"/>
                      <w:lang w:eastAsia="nb-NO"/>
                    </w:rPr>
                    <w:t xml:space="preserve"> 7060189</w:t>
                  </w:r>
                </w:p>
              </w:tc>
            </w:tr>
            <w:tr w14:paraId="61BF7CB7" w14:textId="77777777" w:rsidTr="00C228C0">
              <w:tblPrEx>
                <w:tblW w:w="2057" w:type="dxa"/>
                <w:tblCellMar>
                  <w:left w:w="70" w:type="dxa"/>
                  <w:right w:w="70" w:type="dxa"/>
                </w:tblCellMar>
                <w:tblLook w:val="04A0"/>
              </w:tblPrEx>
              <w:trPr>
                <w:trHeight w:val="301"/>
              </w:trPr>
              <w:tc>
                <w:tcPr>
                  <w:tcW w:w="2057" w:type="dxa"/>
                  <w:shd w:val="clear" w:color="auto" w:fill="auto"/>
                  <w:noWrap/>
                  <w:vAlign w:val="bottom"/>
                  <w:hideMark/>
                </w:tcPr>
                <w:p w:rsidR="00D25182" w:rsidRPr="00D07A3E" w:rsidP="00C228C0" w14:paraId="111B5CB0" w14:textId="77777777">
                  <w:pPr>
                    <w:rPr>
                      <w:rFonts w:ascii="Calibri" w:eastAsia="Times New Roman" w:hAnsi="Calibri" w:cs="Calibri"/>
                      <w:color w:val="000000"/>
                      <w:lang w:eastAsia="nb-NO"/>
                    </w:rPr>
                  </w:pPr>
                  <w:r w:rsidRPr="00D07A3E">
                    <w:rPr>
                      <w:rFonts w:ascii="Calibri" w:eastAsia="Times New Roman" w:hAnsi="Calibri" w:cs="Calibri"/>
                      <w:color w:val="000000"/>
                      <w:lang w:eastAsia="nb-NO"/>
                    </w:rPr>
                    <w:t xml:space="preserve">1. </w:t>
                  </w:r>
                  <w:r w:rsidRPr="00D07A3E">
                    <w:rPr>
                      <w:rFonts w:ascii="Calibri" w:eastAsia="Times New Roman" w:hAnsi="Calibri" w:cs="Calibri"/>
                      <w:color w:val="000000"/>
                      <w:lang w:eastAsia="nb-NO"/>
                    </w:rPr>
                    <w:t>249751 ,</w:t>
                  </w:r>
                  <w:r w:rsidRPr="00D07A3E">
                    <w:rPr>
                      <w:rFonts w:ascii="Calibri" w:eastAsia="Times New Roman" w:hAnsi="Calibri" w:cs="Calibri"/>
                      <w:color w:val="000000"/>
                      <w:lang w:eastAsia="nb-NO"/>
                    </w:rPr>
                    <w:t xml:space="preserve"> 7060007</w:t>
                  </w:r>
                </w:p>
              </w:tc>
            </w:tr>
            <w:tr w14:paraId="166FF50A" w14:textId="77777777" w:rsidTr="00C228C0">
              <w:tblPrEx>
                <w:tblW w:w="2057" w:type="dxa"/>
                <w:tblCellMar>
                  <w:left w:w="70" w:type="dxa"/>
                  <w:right w:w="70" w:type="dxa"/>
                </w:tblCellMar>
                <w:tblLook w:val="04A0"/>
              </w:tblPrEx>
              <w:trPr>
                <w:trHeight w:val="301"/>
              </w:trPr>
              <w:tc>
                <w:tcPr>
                  <w:tcW w:w="2057" w:type="dxa"/>
                  <w:shd w:val="clear" w:color="auto" w:fill="auto"/>
                  <w:noWrap/>
                  <w:vAlign w:val="bottom"/>
                  <w:hideMark/>
                </w:tcPr>
                <w:p w:rsidR="00D25182" w:rsidRPr="00D07A3E" w:rsidP="00C228C0" w14:paraId="0A205BD7" w14:textId="77777777">
                  <w:pPr>
                    <w:rPr>
                      <w:rFonts w:ascii="Calibri" w:eastAsia="Times New Roman" w:hAnsi="Calibri" w:cs="Calibri"/>
                      <w:color w:val="000000"/>
                      <w:lang w:eastAsia="nb-NO"/>
                    </w:rPr>
                  </w:pPr>
                  <w:r w:rsidRPr="00D07A3E">
                    <w:rPr>
                      <w:rFonts w:ascii="Calibri" w:eastAsia="Times New Roman" w:hAnsi="Calibri" w:cs="Calibri"/>
                      <w:color w:val="000000"/>
                      <w:lang w:eastAsia="nb-NO"/>
                    </w:rPr>
                    <w:t xml:space="preserve">2. </w:t>
                  </w:r>
                  <w:r w:rsidRPr="00D07A3E">
                    <w:rPr>
                      <w:rFonts w:ascii="Calibri" w:eastAsia="Times New Roman" w:hAnsi="Calibri" w:cs="Calibri"/>
                      <w:color w:val="000000"/>
                      <w:lang w:eastAsia="nb-NO"/>
                    </w:rPr>
                    <w:t>249808 ,</w:t>
                  </w:r>
                  <w:r w:rsidRPr="00D07A3E">
                    <w:rPr>
                      <w:rFonts w:ascii="Calibri" w:eastAsia="Times New Roman" w:hAnsi="Calibri" w:cs="Calibri"/>
                      <w:color w:val="000000"/>
                      <w:lang w:eastAsia="nb-NO"/>
                    </w:rPr>
                    <w:t xml:space="preserve"> 7060088</w:t>
                  </w:r>
                </w:p>
              </w:tc>
            </w:tr>
          </w:tbl>
          <w:p w:rsidR="00D25182" w:rsidP="00C228C0" w14:paraId="6018415F" w14:textId="77777777"/>
        </w:tc>
        <w:tc>
          <w:tcPr>
            <w:tcW w:w="1854" w:type="dxa"/>
          </w:tcPr>
          <w:p w:rsidR="00D25182" w:rsidP="00C228C0" w14:paraId="1D90B0F5" w14:textId="773479D7">
            <w:r>
              <w:t>Ca. 3250</w:t>
            </w:r>
          </w:p>
        </w:tc>
      </w:tr>
      <w:tr w14:paraId="5261F701" w14:textId="77777777" w:rsidTr="00C228C0">
        <w:tblPrEx>
          <w:tblW w:w="9393" w:type="dxa"/>
          <w:tblLook w:val="04A0"/>
        </w:tblPrEx>
        <w:trPr>
          <w:trHeight w:val="1507"/>
        </w:trPr>
        <w:tc>
          <w:tcPr>
            <w:tcW w:w="1193" w:type="dxa"/>
          </w:tcPr>
          <w:p w:rsidR="00D25182" w:rsidP="00C228C0" w14:paraId="2A33940A" w14:textId="77777777">
            <w:r>
              <w:t>Indre Fosen</w:t>
            </w:r>
          </w:p>
        </w:tc>
        <w:tc>
          <w:tcPr>
            <w:tcW w:w="1955" w:type="dxa"/>
          </w:tcPr>
          <w:p w:rsidR="00D25182" w:rsidP="00C228C0" w14:paraId="17C305DF" w14:textId="77777777">
            <w:r>
              <w:t>Flyta</w:t>
            </w:r>
            <w:r>
              <w:t xml:space="preserve"> </w:t>
            </w:r>
            <w:r>
              <w:rPr>
                <w:rFonts w:ascii="Arial" w:hAnsi="Arial" w:cs="Arial"/>
                <w:color w:val="000000"/>
                <w:szCs w:val="20"/>
                <w:shd w:val="clear" w:color="auto" w:fill="FFFFFF"/>
              </w:rPr>
              <w:t>132.1Z</w:t>
            </w:r>
          </w:p>
        </w:tc>
        <w:tc>
          <w:tcPr>
            <w:tcW w:w="1786" w:type="dxa"/>
          </w:tcPr>
          <w:p w:rsidR="00D25182" w:rsidRPr="00EC4AA7" w:rsidP="00C228C0" w14:paraId="2FC5055E" w14:textId="77777777">
            <w:pPr>
              <w:rPr>
                <w:rFonts w:ascii="Calibri" w:eastAsia="Times New Roman" w:hAnsi="Calibri" w:cs="Calibri"/>
                <w:color w:val="000000"/>
                <w:lang w:eastAsia="nb-NO"/>
              </w:rPr>
            </w:pPr>
            <w:r w:rsidRPr="00EC4AA7">
              <w:rPr>
                <w:rFonts w:ascii="Calibri" w:eastAsia="Times New Roman" w:hAnsi="Calibri" w:cs="Calibri"/>
                <w:color w:val="000000"/>
                <w:lang w:eastAsia="nb-NO"/>
              </w:rPr>
              <w:t xml:space="preserve">En rettlinjet grense mellom nes ved </w:t>
            </w:r>
            <w:r w:rsidRPr="00EC4AA7">
              <w:rPr>
                <w:rFonts w:ascii="Calibri" w:eastAsia="Times New Roman" w:hAnsi="Calibri" w:cs="Calibri"/>
                <w:color w:val="000000"/>
                <w:lang w:eastAsia="nb-NO"/>
              </w:rPr>
              <w:t>Litjnaust</w:t>
            </w:r>
            <w:r w:rsidRPr="00EC4AA7">
              <w:rPr>
                <w:rFonts w:ascii="Calibri" w:eastAsia="Times New Roman" w:hAnsi="Calibri" w:cs="Calibri"/>
                <w:color w:val="000000"/>
                <w:lang w:eastAsia="nb-NO"/>
              </w:rPr>
              <w:t xml:space="preserve"> og naust ved neset utenfor Solstad. </w:t>
            </w:r>
          </w:p>
          <w:p w:rsidR="00D25182" w:rsidP="00C228C0" w14:paraId="346BBA52" w14:textId="77777777"/>
        </w:tc>
        <w:tc>
          <w:tcPr>
            <w:tcW w:w="2605" w:type="dxa"/>
            <w:shd w:val="clear" w:color="auto" w:fill="auto"/>
          </w:tcPr>
          <w:tbl>
            <w:tblPr>
              <w:tblW w:w="2389" w:type="dxa"/>
              <w:tblCellMar>
                <w:left w:w="70" w:type="dxa"/>
                <w:right w:w="70" w:type="dxa"/>
              </w:tblCellMar>
              <w:tblLook w:val="04A0"/>
            </w:tblPr>
            <w:tblGrid>
              <w:gridCol w:w="2389"/>
            </w:tblGrid>
            <w:tr w14:paraId="23320C40" w14:textId="77777777" w:rsidTr="00C228C0">
              <w:tblPrEx>
                <w:tblW w:w="2389" w:type="dxa"/>
                <w:tblCellMar>
                  <w:left w:w="70" w:type="dxa"/>
                  <w:right w:w="70" w:type="dxa"/>
                </w:tblCellMar>
                <w:tblLook w:val="04A0"/>
              </w:tblPrEx>
              <w:trPr>
                <w:trHeight w:val="248"/>
              </w:trPr>
              <w:tc>
                <w:tcPr>
                  <w:tcW w:w="2389" w:type="dxa"/>
                  <w:shd w:val="clear" w:color="auto" w:fill="auto"/>
                  <w:noWrap/>
                  <w:vAlign w:val="bottom"/>
                  <w:hideMark/>
                </w:tcPr>
                <w:p w:rsidR="00D25182" w:rsidRPr="00EC4AA7" w:rsidP="00C228C0" w14:paraId="23D7A718" w14:textId="77777777">
                  <w:pPr>
                    <w:rPr>
                      <w:rFonts w:ascii="Calibri" w:eastAsia="Times New Roman" w:hAnsi="Calibri" w:cs="Calibri"/>
                      <w:color w:val="000000"/>
                      <w:lang w:eastAsia="nb-NO"/>
                    </w:rPr>
                  </w:pPr>
                  <w:r w:rsidRPr="00EC4AA7">
                    <w:rPr>
                      <w:rFonts w:ascii="Calibri" w:eastAsia="Times New Roman" w:hAnsi="Calibri" w:cs="Calibri"/>
                      <w:color w:val="000000"/>
                      <w:lang w:eastAsia="nb-NO"/>
                    </w:rPr>
                    <w:t xml:space="preserve">1. </w:t>
                  </w:r>
                  <w:r w:rsidRPr="00EC4AA7">
                    <w:rPr>
                      <w:rFonts w:ascii="Calibri" w:eastAsia="Times New Roman" w:hAnsi="Calibri" w:cs="Calibri"/>
                      <w:color w:val="000000"/>
                      <w:lang w:eastAsia="nb-NO"/>
                    </w:rPr>
                    <w:t>251715 ,</w:t>
                  </w:r>
                  <w:r w:rsidRPr="00EC4AA7">
                    <w:rPr>
                      <w:rFonts w:ascii="Calibri" w:eastAsia="Times New Roman" w:hAnsi="Calibri" w:cs="Calibri"/>
                      <w:color w:val="000000"/>
                      <w:lang w:eastAsia="nb-NO"/>
                    </w:rPr>
                    <w:t xml:space="preserve"> 7061163</w:t>
                  </w:r>
                </w:p>
              </w:tc>
            </w:tr>
            <w:tr w14:paraId="4F27C868" w14:textId="77777777" w:rsidTr="00C228C0">
              <w:tblPrEx>
                <w:tblW w:w="2389" w:type="dxa"/>
                <w:tblCellMar>
                  <w:left w:w="70" w:type="dxa"/>
                  <w:right w:w="70" w:type="dxa"/>
                </w:tblCellMar>
                <w:tblLook w:val="04A0"/>
              </w:tblPrEx>
              <w:trPr>
                <w:trHeight w:val="248"/>
              </w:trPr>
              <w:tc>
                <w:tcPr>
                  <w:tcW w:w="2389" w:type="dxa"/>
                  <w:shd w:val="clear" w:color="auto" w:fill="auto"/>
                  <w:noWrap/>
                  <w:vAlign w:val="bottom"/>
                  <w:hideMark/>
                </w:tcPr>
                <w:p w:rsidR="00D25182" w:rsidRPr="00EC4AA7" w:rsidP="00C228C0" w14:paraId="520CC67F" w14:textId="77777777">
                  <w:pPr>
                    <w:rPr>
                      <w:rFonts w:ascii="Calibri" w:eastAsia="Times New Roman" w:hAnsi="Calibri" w:cs="Calibri"/>
                      <w:color w:val="000000"/>
                      <w:lang w:eastAsia="nb-NO"/>
                    </w:rPr>
                  </w:pPr>
                  <w:r w:rsidRPr="00EC4AA7">
                    <w:rPr>
                      <w:rFonts w:ascii="Calibri" w:eastAsia="Times New Roman" w:hAnsi="Calibri" w:cs="Calibri"/>
                      <w:color w:val="000000"/>
                      <w:lang w:eastAsia="nb-NO"/>
                    </w:rPr>
                    <w:t xml:space="preserve">2. </w:t>
                  </w:r>
                  <w:r w:rsidRPr="00EC4AA7">
                    <w:rPr>
                      <w:rFonts w:ascii="Calibri" w:eastAsia="Times New Roman" w:hAnsi="Calibri" w:cs="Calibri"/>
                      <w:color w:val="000000"/>
                      <w:lang w:eastAsia="nb-NO"/>
                    </w:rPr>
                    <w:t>252261 ,</w:t>
                  </w:r>
                  <w:r w:rsidRPr="00EC4AA7">
                    <w:rPr>
                      <w:rFonts w:ascii="Calibri" w:eastAsia="Times New Roman" w:hAnsi="Calibri" w:cs="Calibri"/>
                      <w:color w:val="000000"/>
                      <w:lang w:eastAsia="nb-NO"/>
                    </w:rPr>
                    <w:t xml:space="preserve"> 7060701</w:t>
                  </w:r>
                </w:p>
              </w:tc>
            </w:tr>
          </w:tbl>
          <w:p w:rsidR="00D25182" w:rsidP="00C228C0" w14:paraId="4440288E" w14:textId="77777777"/>
        </w:tc>
        <w:tc>
          <w:tcPr>
            <w:tcW w:w="1854" w:type="dxa"/>
          </w:tcPr>
          <w:p w:rsidR="00D25182" w:rsidP="00C228C0" w14:paraId="6C60A334" w14:textId="77777777">
            <w:r>
              <w:t>350 meter</w:t>
            </w:r>
          </w:p>
        </w:tc>
      </w:tr>
      <w:bookmarkEnd w:id="9"/>
    </w:tbl>
    <w:p w:rsidR="00D25182" w:rsidP="00D25182" w14:paraId="134DB79C" w14:textId="77777777"/>
    <w:p w:rsidR="00D25182" w:rsidP="00D25182" w14:paraId="278991C6" w14:textId="77777777"/>
    <w:p w:rsidR="00D25182" w:rsidP="00D25182" w14:paraId="63AA11F3" w14:textId="1D3C2FC4">
      <w:r>
        <w:t xml:space="preserve">Lengden på munningsfredningssonen utenfor </w:t>
      </w:r>
      <w:r>
        <w:t>Skauga</w:t>
      </w:r>
      <w:r>
        <w:t xml:space="preserve"> vil slik overstige 2 km</w:t>
      </w:r>
      <w:r w:rsidR="00C84BBC">
        <w:t xml:space="preserve">, en distanse </w:t>
      </w:r>
      <w:r w:rsidR="00C84BBC">
        <w:t>Miljødirektoratet</w:t>
      </w:r>
      <w:r w:rsidR="00C84BBC">
        <w:t xml:space="preserve"> har ment er tilstrekkelig i de fleste vassdrag</w:t>
      </w:r>
      <w:r>
        <w:t>. Ettersom vi kan anta at Straumen er et område som blir brukt av bestander fra flere vassdrag og deriblant vassdrag med ukjent eller dårlig status på bestanden (</w:t>
      </w:r>
      <w:r>
        <w:t>Skauga</w:t>
      </w:r>
      <w:r>
        <w:t xml:space="preserve">, </w:t>
      </w:r>
      <w:r>
        <w:t>Refsåa</w:t>
      </w:r>
      <w:r>
        <w:t xml:space="preserve">, </w:t>
      </w:r>
      <w:r>
        <w:t>Flyta</w:t>
      </w:r>
      <w:r>
        <w:t xml:space="preserve">), vil vi begrense risikoen for overbeskatning her. </w:t>
      </w:r>
      <w:r w:rsidR="00060BF7">
        <w:t xml:space="preserve">Retningslinjene (vedlagt) </w:t>
      </w:r>
      <w:r>
        <w:t>åpner også for at man kan ha lengre munningsfredningssoner enn 2 km der det er geografiske forhold, som for eksempel spesielt trange farvann som gjør fisken mer sårbar. Dette mener vi er gjeldende her</w:t>
      </w:r>
      <w:r w:rsidR="00514BA1">
        <w:t xml:space="preserve"> </w:t>
      </w:r>
      <w:r w:rsidR="00C84BBC">
        <w:t>da</w:t>
      </w:r>
      <w:r w:rsidR="00514BA1">
        <w:t xml:space="preserve"> selve Straumen utgjør ca. 2250 m.</w:t>
      </w:r>
      <w:r w:rsidR="00C84BBC">
        <w:t xml:space="preserve"> Merk at det i kartinnsynet er lagt inn forslag om ny grense elv/ sjø etter funn av gammelt skjønn. Skjønnet ligger vedlagt.</w:t>
      </w:r>
    </w:p>
    <w:p w:rsidR="00D25182" w:rsidP="00D25182" w14:paraId="0E7F79E3" w14:textId="77777777"/>
    <w:p w:rsidR="00D25182" w:rsidP="00D25182" w14:paraId="4B73AE70" w14:textId="74B45142">
      <w:r>
        <w:t xml:space="preserve">Ved å lage to adskilte munningsfredningssoner vil allmenhetens fiske i Botn bli ivaretatt samtidig som man får to områder som kan reguleres ulikt etter bestandsstatus. Ettersom status på laksestammen i </w:t>
      </w:r>
      <w:r>
        <w:t>Flyta</w:t>
      </w:r>
      <w:r>
        <w:t xml:space="preserve"> pr. d.d. er definert som dårlig i </w:t>
      </w:r>
      <w:hyperlink r:id="rId12" w:history="1">
        <w:r>
          <w:rPr>
            <w:rStyle w:val="Hyperlink"/>
          </w:rPr>
          <w:t>L</w:t>
        </w:r>
        <w:r w:rsidRPr="005610D9">
          <w:rPr>
            <w:rStyle w:val="Hyperlink"/>
          </w:rPr>
          <w:t>akseregisteret</w:t>
        </w:r>
      </w:hyperlink>
      <w:r>
        <w:t xml:space="preserve"> vil denne munningsfredningssonen ikke komme i tabell 2 i ny forskrift, hvor soner som åpnes for fiske etter anadrom fisk og </w:t>
      </w:r>
      <w:r>
        <w:t>dorging</w:t>
      </w:r>
      <w:r>
        <w:t xml:space="preserve"> står. </w:t>
      </w:r>
    </w:p>
    <w:p w:rsidR="00D25182" w:rsidP="00D25182" w14:paraId="2FF7E8A3" w14:textId="2657192F"/>
    <w:p w:rsidR="00060BF7" w:rsidP="00D25182" w14:paraId="766DF2A4" w14:textId="77777777"/>
    <w:p w:rsidR="00D25182" w:rsidRPr="00F846FE" w:rsidP="00D25182" w14:paraId="54A488E9" w14:textId="77777777">
      <w:pPr>
        <w:rPr>
          <w:i/>
          <w:iCs/>
        </w:rPr>
      </w:pPr>
      <w:r w:rsidRPr="00F846FE">
        <w:rPr>
          <w:i/>
          <w:iCs/>
        </w:rPr>
        <w:t>Fiske i Botn</w:t>
      </w:r>
    </w:p>
    <w:p w:rsidR="00D25182" w:rsidP="00D25182" w14:paraId="4725285D" w14:textId="77777777">
      <w:r>
        <w:t>I selve Botn vil det være åpent for å fiske etter anadrom fisk både med stang fra land og båt i bevegelse så lenge det ikke er nasjonalt fredningstid på artene. Fiskereglene for garnsetting vil bli lik som i sjøen utenfor munningsfredningssonene. Utvidet nedsenkningspåbud vil også gjelde her, som i andre sjøområder i Trøndelag.</w:t>
      </w:r>
    </w:p>
    <w:p w:rsidR="00D25182" w:rsidRPr="000A0548" w:rsidP="00D25182" w14:paraId="778A49D4" w14:textId="77777777"/>
    <w:p w:rsidR="00D25182" w:rsidRPr="00F846FE" w:rsidP="00D25182" w14:paraId="0F3F4640" w14:textId="77777777">
      <w:pPr>
        <w:rPr>
          <w:i/>
          <w:iCs/>
        </w:rPr>
      </w:pPr>
      <w:r w:rsidRPr="00F846FE">
        <w:rPr>
          <w:i/>
          <w:iCs/>
        </w:rPr>
        <w:t>Sjølaksefiske i Indre Fosen</w:t>
      </w:r>
    </w:p>
    <w:p w:rsidR="00D25182" w:rsidP="00D25182" w14:paraId="0976BF06" w14:textId="77777777">
      <w:r w:rsidRPr="000A0548">
        <w:t xml:space="preserve">Statsforvalteren har også fått innspill </w:t>
      </w:r>
      <w:r>
        <w:t>på</w:t>
      </w:r>
      <w:r w:rsidRPr="000A0548">
        <w:t xml:space="preserve"> å flytte grensen slik at rettigheter til kilenøter ved Uddu </w:t>
      </w:r>
      <w:r>
        <w:t xml:space="preserve">(Rissa </w:t>
      </w:r>
      <w:r>
        <w:t>Dampskipekspedisjon</w:t>
      </w:r>
      <w:r>
        <w:t xml:space="preserve">) </w:t>
      </w:r>
      <w:r w:rsidRPr="000A0548">
        <w:t>og Jomfruskjæret kan brukes. Vi har sett i Lakseregisteret sjølaksefiske</w:t>
      </w:r>
      <w:r>
        <w:rPr>
          <w:rStyle w:val="FootnoteReference"/>
        </w:rPr>
        <w:footnoteReference w:id="3"/>
      </w:r>
      <w:r w:rsidRPr="000A0548">
        <w:t>, databasen hvor kilenøtene registreres før hver fiskesesong. Vi kan ikke finne at det er registrert fiske på Rissa Dampskipeksedisjon de siste 7 årene. Ved et søk i historiske sjølaksefiskeplasser finner vi kun en som er registrert innenfor den grensen vi sendte på høring</w:t>
      </w:r>
      <w:r>
        <w:t xml:space="preserve">, </w:t>
      </w:r>
      <w:r w:rsidRPr="000A0548">
        <w:t>Hammarberget</w:t>
      </w:r>
      <w:r>
        <w:t>, som</w:t>
      </w:r>
      <w:r w:rsidRPr="000A0548">
        <w:t xml:space="preserve"> ble sist brukt i 2008. Det har ikke vært registrert kilenotfiske her de siste årene.</w:t>
      </w:r>
    </w:p>
    <w:p w:rsidR="00D25182" w:rsidP="00D25182" w14:paraId="2B8AFE61" w14:textId="77777777"/>
    <w:p w:rsidR="00D25182" w:rsidRPr="000A0548" w:rsidP="00D25182" w14:paraId="0E4DA7BB" w14:textId="77777777">
      <w:r w:rsidRPr="000A0548">
        <w:t xml:space="preserve">Ved å utvide munningsfredningssonen som foreslått, vil rettigheter ikke kunne brukes til faststående redskap med dagens bestemmelser, da de reguleres vekk så lenge forskriften gjelder. Fiskeretten endres imidlertid ikke. Fisket reguleres bort så lenge det er svake bestander, men kan tas opp igjen i framtida, dersom vi igjen får større bestander med mindre behov for beskyttelse. </w:t>
      </w:r>
    </w:p>
    <w:p w:rsidR="00D25182" w:rsidRPr="000A0548" w:rsidP="00D25182" w14:paraId="54287844" w14:textId="77777777"/>
    <w:p w:rsidR="00D25182" w:rsidRPr="000A0548" w:rsidP="00D25182" w14:paraId="2F9A9F8C" w14:textId="77777777">
      <w:r w:rsidRPr="000A0548">
        <w:t>Vi vil etter råd fra høringsparter justere den ytre grensen noe. Ved å flytte det sørlige punktet på munningsfredningssonen noe østover</w:t>
      </w:r>
      <w:r>
        <w:t xml:space="preserve"> i forhold til opprinnelig høringsnotat</w:t>
      </w:r>
      <w:r w:rsidRPr="000A0548">
        <w:t xml:space="preserve">, vil dagens aktive fiske på </w:t>
      </w:r>
      <w:r w:rsidRPr="000A0548">
        <w:t>notplassen</w:t>
      </w:r>
      <w:r w:rsidRPr="000A0548">
        <w:t xml:space="preserve"> Jomfruskjæret kunne fortsette som før. Det vil også gjøre sonen lettere å beskrive og formidle. Vi flytter derfor ytre grense ca. 80 meter østover, inn mot Botn (mellom eiendommene 57/8,26 og 57/9). Vi mener at dagens kilenotfiske ikke vil bli berørt av forskriften med den nye grensen. </w:t>
      </w:r>
    </w:p>
    <w:p w:rsidR="00D25182" w:rsidP="00D25182" w14:paraId="59E78557" w14:textId="77777777">
      <w:pPr>
        <w:rPr>
          <w:rStyle w:val="fontstyle01"/>
          <w:color w:val="auto"/>
        </w:rPr>
      </w:pPr>
    </w:p>
    <w:p w:rsidR="00D25182" w:rsidRPr="00F846FE" w:rsidP="00D25182" w14:paraId="21F33F63" w14:textId="77777777">
      <w:pPr>
        <w:rPr>
          <w:rStyle w:val="fontstyle01"/>
          <w:i/>
          <w:iCs/>
          <w:color w:val="auto"/>
        </w:rPr>
      </w:pPr>
      <w:r w:rsidRPr="00F846FE">
        <w:rPr>
          <w:rStyle w:val="fontstyle01"/>
          <w:i/>
          <w:iCs/>
          <w:color w:val="auto"/>
        </w:rPr>
        <w:t>Frist</w:t>
      </w:r>
    </w:p>
    <w:p w:rsidR="00D25182" w:rsidRPr="00E85FCA" w:rsidP="00D25182" w14:paraId="0BD37835" w14:textId="4EABC0A0">
      <w:r>
        <w:t xml:space="preserve">Vi ber om at høringsinnspill sendes til </w:t>
      </w:r>
      <w:r w:rsidRPr="000A0548">
        <w:t>sftlpost@statsforvalteren.no</w:t>
      </w:r>
      <w:r>
        <w:t xml:space="preserve"> innen </w:t>
      </w:r>
      <w:r w:rsidR="00F06CE1">
        <w:t>10</w:t>
      </w:r>
      <w:r>
        <w:t>.</w:t>
      </w:r>
      <w:r w:rsidR="009057BA">
        <w:t xml:space="preserve"> </w:t>
      </w:r>
      <w:r>
        <w:t xml:space="preserve">mai og at mottakere av dette brevet videresender informasjonen til andre som måtte ha interesse av den. </w:t>
      </w:r>
    </w:p>
    <w:bookmarkEnd w:id="8"/>
    <w:p w:rsidR="00B461C3" w:rsidP="00B461C3" w14:paraId="57C5EF5A" w14:textId="23234DD2"/>
    <w:p w:rsidR="00D25182" w:rsidP="00B461C3" w14:paraId="1C6D45A9" w14:textId="1F4934B7"/>
    <w:p w:rsidR="00D25182" w:rsidP="00B461C3" w14:paraId="567805C1" w14:textId="55819C92"/>
    <w:p w:rsidR="00D25182" w:rsidP="00B461C3" w14:paraId="6860769C" w14:textId="77777777"/>
    <w:p w:rsidR="00D25182" w:rsidRPr="00E85FCA" w:rsidP="00B461C3" w14:paraId="18A6B4C5"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6"/>
        <w:gridCol w:w="284"/>
        <w:gridCol w:w="4552"/>
      </w:tblGrid>
      <w:tr w14:paraId="3560D200" w14:textId="77777777" w:rsidTr="00DE5DA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6" w:type="dxa"/>
          </w:tcPr>
          <w:p w:rsidR="00DE5DA8" w14:paraId="5F7C41BC" w14:textId="77777777">
            <w:r>
              <w:t>Med hilsen</w:t>
            </w:r>
          </w:p>
          <w:p w:rsidR="00DE5DA8" w14:paraId="3CF2B4AB" w14:textId="77777777"/>
          <w:p w:rsidR="00DE5DA8" w14:paraId="4609E920" w14:textId="77777777">
            <w:bookmarkStart w:id="10" w:name="ADMLEDERNAVN"/>
            <w:r>
              <w:t>Gry Tveten Aune</w:t>
            </w:r>
            <w:bookmarkEnd w:id="10"/>
            <w:r>
              <w:t xml:space="preserve"> (</w:t>
            </w:r>
            <w:r>
              <w:t>e.f.</w:t>
            </w:r>
            <w:r>
              <w:t>)</w:t>
            </w:r>
          </w:p>
          <w:p w:rsidR="00DE5DA8" w14:paraId="054144C6" w14:textId="77777777">
            <w:bookmarkStart w:id="11" w:name="ADMLEDERSTILLING"/>
            <w:r>
              <w:t>underdirektør</w:t>
            </w:r>
            <w:bookmarkEnd w:id="11"/>
          </w:p>
        </w:tc>
        <w:tc>
          <w:tcPr>
            <w:tcW w:w="284" w:type="dxa"/>
          </w:tcPr>
          <w:p w:rsidR="00DE5DA8" w14:paraId="33F812BB" w14:textId="77777777"/>
        </w:tc>
        <w:tc>
          <w:tcPr>
            <w:tcW w:w="4552" w:type="dxa"/>
          </w:tcPr>
          <w:p w:rsidR="00DE5DA8" w14:paraId="4EF36F9E" w14:textId="77777777"/>
          <w:p w:rsidR="00DE5DA8" w14:paraId="6C0DD883" w14:textId="77777777"/>
          <w:p w:rsidR="00DE5DA8" w14:paraId="6A380ACE" w14:textId="77777777">
            <w:bookmarkStart w:id="12" w:name="Saksbehandlernavn2"/>
            <w:r>
              <w:t>Kjersti Hanssen</w:t>
            </w:r>
            <w:bookmarkEnd w:id="12"/>
          </w:p>
          <w:p w:rsidR="00DE5DA8" w14:paraId="03036C5D" w14:textId="77777777">
            <w:bookmarkStart w:id="13" w:name="SaksbehandlerStilling"/>
            <w:r>
              <w:t>seniorrådgiver</w:t>
            </w:r>
            <w:bookmarkEnd w:id="13"/>
          </w:p>
        </w:tc>
      </w:tr>
      <w:tr w14:paraId="295A9D85" w14:textId="77777777" w:rsidTr="00DE5DA8">
        <w:tblPrEx>
          <w:tblW w:w="0" w:type="auto"/>
          <w:tblCellMar>
            <w:left w:w="0" w:type="dxa"/>
            <w:right w:w="0" w:type="dxa"/>
          </w:tblCellMar>
          <w:tblLook w:val="04A0"/>
        </w:tblPrEx>
        <w:tc>
          <w:tcPr>
            <w:tcW w:w="4536" w:type="dxa"/>
            <w:hideMark/>
          </w:tcPr>
          <w:p w:rsidR="00DE5DA8" w14:paraId="5E6515E7" w14:textId="77777777">
            <w:bookmarkStart w:id="14" w:name="OVADMBETEGNELSE2"/>
            <w:bookmarkStart w:id="15" w:name="OVADMBETEGNELSE" w:colFirst="2" w:colLast="2"/>
            <w:r>
              <w:t>Klima- og miljøavdelingen</w:t>
            </w:r>
            <w:bookmarkEnd w:id="14"/>
          </w:p>
        </w:tc>
        <w:tc>
          <w:tcPr>
            <w:tcW w:w="284" w:type="dxa"/>
          </w:tcPr>
          <w:p w:rsidR="00DE5DA8" w14:paraId="67062FD5" w14:textId="77777777"/>
        </w:tc>
        <w:tc>
          <w:tcPr>
            <w:tcW w:w="4552" w:type="dxa"/>
            <w:hideMark/>
          </w:tcPr>
          <w:p w:rsidR="00DE5DA8" w14:paraId="7365F450" w14:textId="77777777">
            <w:r>
              <w:t>Klima- og miljøavdelingen</w:t>
            </w:r>
          </w:p>
        </w:tc>
      </w:tr>
      <w:bookmarkEnd w:id="15"/>
    </w:tbl>
    <w:p w:rsidR="00DE5DA8" w:rsidP="00DE5DA8" w14:paraId="1459C5EB" w14:textId="77777777"/>
    <w:p w:rsidR="00DE5DA8" w:rsidP="00DE5DA8" w14:paraId="530A909A" w14:textId="77777777">
      <w:pPr>
        <w:rPr>
          <w:i/>
        </w:rPr>
      </w:pPr>
      <w:r>
        <w:rPr>
          <w:i/>
        </w:rPr>
        <w:t>Dokumentet er elektronisk godkjent</w:t>
      </w:r>
    </w:p>
    <w:p w:rsidR="00A81FDC" w:rsidRPr="00E85FCA" w:rsidP="00A81FDC" w14:paraId="575A41AE" w14:textId="77777777"/>
    <w:p w:rsidR="00A81FDC" w:rsidRPr="00E85FCA" w:rsidP="00A81FDC" w14:paraId="3C9692F8" w14:textId="77777777"/>
    <w:p w:rsidR="00742E78" w:rsidRPr="00E85FCA" w:rsidP="00A81FDC" w14:paraId="7790F700" w14:textId="77777777">
      <w:bookmarkStart w:id="16" w:name="Vedlegg"/>
      <w:bookmarkEnd w:id="16"/>
    </w:p>
    <w:p w:rsidR="00A81FDC" w:rsidP="00A81FDC" w14:paraId="0F60C313" w14:textId="57B33C40"/>
    <w:p w:rsidR="00D25182" w:rsidP="00A81FDC" w14:paraId="121B4D94" w14:textId="3C7BD093"/>
    <w:p w:rsidR="00D25182" w:rsidP="00A81FDC" w14:paraId="74FD7EE0" w14:textId="3BF951A9"/>
    <w:p w:rsidR="00D25182" w:rsidP="00A81FDC" w14:paraId="66BE84A7" w14:textId="35F3E6B7"/>
    <w:p w:rsidR="00D25182" w:rsidP="00A81FDC" w14:paraId="68E6D178" w14:textId="79FEE45F"/>
    <w:p w:rsidR="00D25182" w:rsidP="00A81FDC" w14:paraId="428C1369" w14:textId="12D18993"/>
    <w:p w:rsidR="00D25182" w:rsidP="00A81FDC" w14:paraId="0B978B7F" w14:textId="4FCF385D"/>
    <w:p w:rsidR="00D25182" w:rsidP="00A81FDC" w14:paraId="5BB22E96" w14:textId="5DB2126C"/>
    <w:p w:rsidR="00D25182" w:rsidP="00A81FDC" w14:paraId="1379A296" w14:textId="3C5F16CE"/>
    <w:p w:rsidR="00D25182" w:rsidP="00A81FDC" w14:paraId="26FAAD29" w14:textId="79D1CCF1"/>
    <w:p w:rsidR="00D25182" w:rsidRPr="00E85FCA" w:rsidP="00A81FDC" w14:paraId="00B02B99" w14:textId="77777777"/>
    <w:p w:rsidR="00DE5303" w:rsidRPr="00E85FCA" w:rsidP="00A81FDC" w14:paraId="0E285DFD" w14:textId="77777777">
      <w:r w:rsidRPr="00E85FCA">
        <w:t>Kopi til:</w:t>
      </w:r>
    </w:p>
    <w:tbl>
      <w:tblPr>
        <w:tblW w:w="5000" w:type="pct"/>
        <w:tblLook w:val="04A0"/>
      </w:tblPr>
      <w:tblGrid>
        <w:gridCol w:w="3114"/>
        <w:gridCol w:w="3489"/>
        <w:gridCol w:w="904"/>
        <w:gridCol w:w="1875"/>
      </w:tblGrid>
      <w:tr w14:paraId="71E6608A" w14:textId="77777777">
        <w:tblPrEx>
          <w:tblW w:w="5000" w:type="pct"/>
          <w:tblLook w:val="04A0"/>
        </w:tblPrEx>
        <w:tc>
          <w:tcPr>
            <w:tcW w:w="0" w:type="auto"/>
          </w:tcPr>
          <w:p w:rsidR="00DE5303" w:rsidRPr="00E85FCA" w:rsidP="00A81FDC" w14:paraId="3DAA5B39" w14:textId="77777777">
            <w:bookmarkStart w:id="17" w:name="KopiTilTabell"/>
            <w:bookmarkEnd w:id="17"/>
            <w:r w:rsidRPr="00E85FCA">
              <w:t>Miljødirektoratet</w:t>
            </w:r>
          </w:p>
        </w:tc>
        <w:tc>
          <w:tcPr>
            <w:tcW w:w="0" w:type="auto"/>
          </w:tcPr>
          <w:p w:rsidR="00DE5303" w:rsidRPr="00E85FCA" w:rsidP="00A81FDC" w14:paraId="4B7A68E8" w14:textId="77777777">
            <w:r w:rsidRPr="00E85FCA">
              <w:t xml:space="preserve">Postboks 5672 </w:t>
            </w:r>
            <w:r w:rsidRPr="00E85FCA">
              <w:t>Torgarden</w:t>
            </w:r>
          </w:p>
        </w:tc>
        <w:tc>
          <w:tcPr>
            <w:tcW w:w="0" w:type="auto"/>
          </w:tcPr>
          <w:p w:rsidR="00DE5303" w:rsidRPr="00E85FCA" w:rsidP="00A81FDC" w14:paraId="321765E6" w14:textId="77777777">
            <w:r w:rsidRPr="00E85FCA">
              <w:t>7485</w:t>
            </w:r>
          </w:p>
        </w:tc>
        <w:tc>
          <w:tcPr>
            <w:tcW w:w="0" w:type="auto"/>
          </w:tcPr>
          <w:p w:rsidR="00DE5303" w:rsidRPr="00E85FCA" w:rsidP="00A81FDC" w14:paraId="46ACE552" w14:textId="77777777">
            <w:r w:rsidRPr="00E85FCA">
              <w:t>TRONDHEIM</w:t>
            </w:r>
          </w:p>
        </w:tc>
      </w:tr>
      <w:tr w14:paraId="56FC6862" w14:textId="77777777">
        <w:tblPrEx>
          <w:tblW w:w="5000" w:type="pct"/>
          <w:tblLook w:val="04A0"/>
        </w:tblPrEx>
        <w:tc>
          <w:tcPr>
            <w:tcW w:w="0" w:type="auto"/>
          </w:tcPr>
          <w:p w:rsidR="00DE5303" w:rsidRPr="00E85FCA" w:rsidP="00A81FDC" w14:paraId="2E128199" w14:textId="77777777">
            <w:r w:rsidRPr="00E85FCA">
              <w:t>Trøndelag politidistrikt</w:t>
            </w:r>
          </w:p>
        </w:tc>
        <w:tc>
          <w:tcPr>
            <w:tcW w:w="0" w:type="auto"/>
          </w:tcPr>
          <w:p w:rsidR="00DE5303" w:rsidRPr="00E85FCA" w:rsidP="00A81FDC" w14:paraId="1702A0FA" w14:textId="77777777">
            <w:r w:rsidRPr="00E85FCA">
              <w:t xml:space="preserve">Postboks 2475 </w:t>
            </w:r>
            <w:r w:rsidRPr="00E85FCA">
              <w:t>Torgarden</w:t>
            </w:r>
          </w:p>
        </w:tc>
        <w:tc>
          <w:tcPr>
            <w:tcW w:w="0" w:type="auto"/>
          </w:tcPr>
          <w:p w:rsidR="00DE5303" w:rsidRPr="00E85FCA" w:rsidP="00A81FDC" w14:paraId="5AE65ADB" w14:textId="77777777">
            <w:r w:rsidRPr="00E85FCA">
              <w:t>7005</w:t>
            </w:r>
          </w:p>
        </w:tc>
        <w:tc>
          <w:tcPr>
            <w:tcW w:w="0" w:type="auto"/>
          </w:tcPr>
          <w:p w:rsidR="00DE5303" w:rsidRPr="00E85FCA" w:rsidP="00A81FDC" w14:paraId="52385AB3" w14:textId="77777777">
            <w:r w:rsidRPr="00E85FCA">
              <w:t>TRONDHEIM</w:t>
            </w:r>
          </w:p>
        </w:tc>
      </w:tr>
    </w:tbl>
    <w:p w:rsidR="00DE5303" w:rsidRPr="00E85FCA" w:rsidP="00A81FDC" w14:paraId="2C3D4BE6" w14:textId="77777777"/>
    <w:p w:rsidR="007E47E4" w:rsidRPr="00E85FCA" w:rsidP="00A81FDC" w14:paraId="4695774B" w14:textId="77777777"/>
    <w:p w:rsidR="00F22C69" w:rsidP="000D3220" w14:paraId="6F0E4FAF" w14:textId="77777777">
      <w:r>
        <w:t>Likelydende brev sendt til:</w:t>
      </w:r>
    </w:p>
    <w:tbl>
      <w:tblPr>
        <w:tblW w:w="5000" w:type="pct"/>
        <w:tblLook w:val="04A0"/>
      </w:tblPr>
      <w:tblGrid>
        <w:gridCol w:w="6651"/>
        <w:gridCol w:w="1068"/>
        <w:gridCol w:w="674"/>
        <w:gridCol w:w="989"/>
      </w:tblGrid>
      <w:tr w14:paraId="0CB01E97" w14:textId="77777777" w:rsidTr="00D25182">
        <w:tblPrEx>
          <w:tblW w:w="5000" w:type="pct"/>
          <w:tblLook w:val="04A0"/>
        </w:tblPrEx>
        <w:tc>
          <w:tcPr>
            <w:tcW w:w="3545" w:type="pct"/>
          </w:tcPr>
          <w:p w:rsidR="00F22C69" w:rsidP="000D3220" w14:paraId="1313EBCE" w14:textId="77777777">
            <w:r>
              <w:t>Fiskeridirektoratet</w:t>
            </w:r>
          </w:p>
        </w:tc>
        <w:tc>
          <w:tcPr>
            <w:tcW w:w="569" w:type="pct"/>
          </w:tcPr>
          <w:p w:rsidR="00F22C69" w:rsidP="000D3220" w14:paraId="7E4A01CB" w14:textId="77777777">
            <w:r>
              <w:t>Pb. 185 Sentrum</w:t>
            </w:r>
          </w:p>
        </w:tc>
        <w:tc>
          <w:tcPr>
            <w:tcW w:w="0" w:type="auto"/>
          </w:tcPr>
          <w:p w:rsidR="00F22C69" w:rsidP="000D3220" w14:paraId="7833BF48" w14:textId="77777777">
            <w:r>
              <w:t>5804</w:t>
            </w:r>
          </w:p>
        </w:tc>
        <w:tc>
          <w:tcPr>
            <w:tcW w:w="0" w:type="auto"/>
          </w:tcPr>
          <w:p w:rsidR="00F22C69" w:rsidP="000D3220" w14:paraId="743E14C7" w14:textId="77777777">
            <w:r>
              <w:t>BERGEN</w:t>
            </w:r>
          </w:p>
        </w:tc>
      </w:tr>
      <w:tr w14:paraId="07FD1DD9" w14:textId="77777777" w:rsidTr="00D25182">
        <w:tblPrEx>
          <w:tblW w:w="5000" w:type="pct"/>
          <w:tblLook w:val="04A0"/>
        </w:tblPrEx>
        <w:tc>
          <w:tcPr>
            <w:tcW w:w="3545" w:type="pct"/>
          </w:tcPr>
          <w:p w:rsidR="00F22C69" w:rsidP="000D3220" w14:paraId="5B9249EA" w14:textId="77777777">
            <w:r>
              <w:t>Indre Fosen kommune</w:t>
            </w:r>
          </w:p>
        </w:tc>
        <w:tc>
          <w:tcPr>
            <w:tcW w:w="569" w:type="pct"/>
          </w:tcPr>
          <w:p w:rsidR="00F22C69" w:rsidP="000D3220" w14:paraId="162A85A7" w14:textId="77777777">
            <w:r>
              <w:t>Postboks 23</w:t>
            </w:r>
          </w:p>
        </w:tc>
        <w:tc>
          <w:tcPr>
            <w:tcW w:w="0" w:type="auto"/>
          </w:tcPr>
          <w:p w:rsidR="00F22C69" w:rsidP="000D3220" w14:paraId="785623DE" w14:textId="77777777">
            <w:r>
              <w:t>7101</w:t>
            </w:r>
          </w:p>
        </w:tc>
        <w:tc>
          <w:tcPr>
            <w:tcW w:w="0" w:type="auto"/>
          </w:tcPr>
          <w:p w:rsidR="00F22C69" w:rsidP="000D3220" w14:paraId="1BAAF170" w14:textId="77777777">
            <w:r>
              <w:t>RISSA</w:t>
            </w:r>
          </w:p>
        </w:tc>
      </w:tr>
      <w:tr w14:paraId="6B35D97E" w14:textId="77777777" w:rsidTr="00D25182">
        <w:tblPrEx>
          <w:tblW w:w="5000" w:type="pct"/>
          <w:tblLook w:val="04A0"/>
        </w:tblPrEx>
        <w:tc>
          <w:tcPr>
            <w:tcW w:w="3545" w:type="pct"/>
          </w:tcPr>
          <w:p w:rsidR="00D25182" w:rsidP="000D3220" w14:paraId="09DE6573" w14:textId="72BC1714">
            <w:r>
              <w:t>Magnar Audun Alseth</w:t>
            </w:r>
          </w:p>
        </w:tc>
        <w:tc>
          <w:tcPr>
            <w:tcW w:w="569" w:type="pct"/>
          </w:tcPr>
          <w:p w:rsidR="00D25182" w:rsidP="000D3220" w14:paraId="33E69624" w14:textId="77777777"/>
        </w:tc>
        <w:tc>
          <w:tcPr>
            <w:tcW w:w="0" w:type="auto"/>
          </w:tcPr>
          <w:p w:rsidR="00D25182" w:rsidP="000D3220" w14:paraId="301AA0BF" w14:textId="77777777"/>
        </w:tc>
        <w:tc>
          <w:tcPr>
            <w:tcW w:w="0" w:type="auto"/>
          </w:tcPr>
          <w:p w:rsidR="00D25182" w:rsidP="000D3220" w14:paraId="089585AC" w14:textId="77777777"/>
        </w:tc>
      </w:tr>
      <w:tr w14:paraId="0D2F9DA5" w14:textId="77777777" w:rsidTr="00D25182">
        <w:tblPrEx>
          <w:tblW w:w="5000" w:type="pct"/>
          <w:tblLook w:val="04A0"/>
        </w:tblPrEx>
        <w:tc>
          <w:tcPr>
            <w:tcW w:w="3545" w:type="pct"/>
          </w:tcPr>
          <w:p w:rsidR="00D25182" w:rsidP="000D3220" w14:paraId="29DF07C4" w14:textId="63301DCC">
            <w:r>
              <w:t>Audun Alseth</w:t>
            </w:r>
          </w:p>
        </w:tc>
        <w:tc>
          <w:tcPr>
            <w:tcW w:w="569" w:type="pct"/>
          </w:tcPr>
          <w:p w:rsidR="00D25182" w:rsidP="000D3220" w14:paraId="6C39C636" w14:textId="77777777"/>
        </w:tc>
        <w:tc>
          <w:tcPr>
            <w:tcW w:w="0" w:type="auto"/>
          </w:tcPr>
          <w:p w:rsidR="00D25182" w:rsidP="000D3220" w14:paraId="7F7607EA" w14:textId="77777777"/>
        </w:tc>
        <w:tc>
          <w:tcPr>
            <w:tcW w:w="0" w:type="auto"/>
          </w:tcPr>
          <w:p w:rsidR="00D25182" w:rsidP="000D3220" w14:paraId="6E1A976A" w14:textId="77777777"/>
        </w:tc>
      </w:tr>
      <w:tr w14:paraId="7A159A4A" w14:textId="77777777" w:rsidTr="00D25182">
        <w:tblPrEx>
          <w:tblW w:w="5000" w:type="pct"/>
          <w:tblLook w:val="04A0"/>
        </w:tblPrEx>
        <w:tc>
          <w:tcPr>
            <w:tcW w:w="3545" w:type="pct"/>
          </w:tcPr>
          <w:p w:rsidR="00D25182" w:rsidP="000D3220" w14:paraId="683A4C97" w14:textId="0E2620FD">
            <w:r>
              <w:t xml:space="preserve">Morten </w:t>
            </w:r>
            <w:r>
              <w:t>Raudberget</w:t>
            </w:r>
          </w:p>
        </w:tc>
        <w:tc>
          <w:tcPr>
            <w:tcW w:w="569" w:type="pct"/>
          </w:tcPr>
          <w:p w:rsidR="00D25182" w:rsidP="000D3220" w14:paraId="1F992768" w14:textId="77777777"/>
        </w:tc>
        <w:tc>
          <w:tcPr>
            <w:tcW w:w="0" w:type="auto"/>
          </w:tcPr>
          <w:p w:rsidR="00D25182" w:rsidP="000D3220" w14:paraId="51897F7F" w14:textId="77777777"/>
        </w:tc>
        <w:tc>
          <w:tcPr>
            <w:tcW w:w="0" w:type="auto"/>
          </w:tcPr>
          <w:p w:rsidR="00D25182" w:rsidP="000D3220" w14:paraId="22ED0640" w14:textId="77777777"/>
        </w:tc>
      </w:tr>
      <w:tr w14:paraId="1DA48A8A" w14:textId="77777777" w:rsidTr="00D25182">
        <w:tblPrEx>
          <w:tblW w:w="5000" w:type="pct"/>
          <w:tblLook w:val="04A0"/>
        </w:tblPrEx>
        <w:tc>
          <w:tcPr>
            <w:tcW w:w="3545" w:type="pct"/>
          </w:tcPr>
          <w:p w:rsidR="00D25182" w:rsidP="000D3220" w14:paraId="7230096D" w14:textId="673DF314">
            <w:r>
              <w:t>Arne Gunleiv Bredesen</w:t>
            </w:r>
          </w:p>
        </w:tc>
        <w:tc>
          <w:tcPr>
            <w:tcW w:w="569" w:type="pct"/>
          </w:tcPr>
          <w:p w:rsidR="00D25182" w:rsidP="000D3220" w14:paraId="37E68BAA" w14:textId="77777777"/>
        </w:tc>
        <w:tc>
          <w:tcPr>
            <w:tcW w:w="0" w:type="auto"/>
          </w:tcPr>
          <w:p w:rsidR="00D25182" w:rsidP="000D3220" w14:paraId="2288D658" w14:textId="77777777"/>
        </w:tc>
        <w:tc>
          <w:tcPr>
            <w:tcW w:w="0" w:type="auto"/>
          </w:tcPr>
          <w:p w:rsidR="00D25182" w:rsidP="000D3220" w14:paraId="7693C2C9" w14:textId="77777777"/>
        </w:tc>
      </w:tr>
      <w:tr w14:paraId="2E51ADF0" w14:textId="77777777" w:rsidTr="00D25182">
        <w:tblPrEx>
          <w:tblW w:w="5000" w:type="pct"/>
          <w:tblLook w:val="04A0"/>
        </w:tblPrEx>
        <w:tc>
          <w:tcPr>
            <w:tcW w:w="3545" w:type="pct"/>
          </w:tcPr>
          <w:p w:rsidR="00D25182" w:rsidP="000D3220" w14:paraId="5BC1E0A8" w14:textId="76B36B2F">
            <w:r>
              <w:t>Rune Bredesen</w:t>
            </w:r>
          </w:p>
        </w:tc>
        <w:tc>
          <w:tcPr>
            <w:tcW w:w="569" w:type="pct"/>
          </w:tcPr>
          <w:p w:rsidR="00D25182" w:rsidP="000D3220" w14:paraId="37D48178" w14:textId="77777777"/>
        </w:tc>
        <w:tc>
          <w:tcPr>
            <w:tcW w:w="0" w:type="auto"/>
          </w:tcPr>
          <w:p w:rsidR="00D25182" w:rsidP="000D3220" w14:paraId="6E77BCC5" w14:textId="77777777"/>
        </w:tc>
        <w:tc>
          <w:tcPr>
            <w:tcW w:w="0" w:type="auto"/>
          </w:tcPr>
          <w:p w:rsidR="00D25182" w:rsidP="000D3220" w14:paraId="0291CC27" w14:textId="77777777"/>
        </w:tc>
      </w:tr>
      <w:tr w14:paraId="404CB8DE" w14:textId="77777777" w:rsidTr="00D25182">
        <w:tblPrEx>
          <w:tblW w:w="5000" w:type="pct"/>
          <w:tblLook w:val="04A0"/>
        </w:tblPrEx>
        <w:tc>
          <w:tcPr>
            <w:tcW w:w="3545" w:type="pct"/>
          </w:tcPr>
          <w:p w:rsidR="00D25182" w:rsidP="000D3220" w14:paraId="17FEA694" w14:textId="77777777">
            <w:r>
              <w:t xml:space="preserve">Sør-Trøndelag </w:t>
            </w:r>
            <w:r>
              <w:t>Grunneigar</w:t>
            </w:r>
            <w:r>
              <w:t xml:space="preserve"> og </w:t>
            </w:r>
            <w:r>
              <w:t>Sjølaksefiskarlag</w:t>
            </w:r>
            <w:r>
              <w:t xml:space="preserve"> </w:t>
            </w:r>
          </w:p>
          <w:p w:rsidR="00D25182" w:rsidP="000D3220" w14:paraId="022F2D09" w14:textId="363485D2">
            <w:r>
              <w:t>v/ Eivind Nikolai Sørensen</w:t>
            </w:r>
          </w:p>
        </w:tc>
        <w:tc>
          <w:tcPr>
            <w:tcW w:w="569" w:type="pct"/>
          </w:tcPr>
          <w:p w:rsidR="00D25182" w:rsidP="000D3220" w14:paraId="66DF71A8" w14:textId="77777777"/>
        </w:tc>
        <w:tc>
          <w:tcPr>
            <w:tcW w:w="0" w:type="auto"/>
          </w:tcPr>
          <w:p w:rsidR="00D25182" w:rsidP="000D3220" w14:paraId="25182D80" w14:textId="77777777"/>
        </w:tc>
        <w:tc>
          <w:tcPr>
            <w:tcW w:w="0" w:type="auto"/>
          </w:tcPr>
          <w:p w:rsidR="00D25182" w:rsidP="000D3220" w14:paraId="2B964E75" w14:textId="77777777"/>
        </w:tc>
      </w:tr>
      <w:tr w14:paraId="5258E8E0" w14:textId="77777777" w:rsidTr="00D25182">
        <w:tblPrEx>
          <w:tblW w:w="5000" w:type="pct"/>
          <w:tblLook w:val="04A0"/>
        </w:tblPrEx>
        <w:tc>
          <w:tcPr>
            <w:tcW w:w="3545" w:type="pct"/>
          </w:tcPr>
          <w:p w:rsidR="00D25182" w:rsidP="000D3220" w14:paraId="67E9FB08" w14:textId="22636FA3">
            <w:r>
              <w:t>Tormod Brede</w:t>
            </w:r>
          </w:p>
        </w:tc>
        <w:tc>
          <w:tcPr>
            <w:tcW w:w="569" w:type="pct"/>
          </w:tcPr>
          <w:p w:rsidR="00D25182" w:rsidP="000D3220" w14:paraId="16503FA5" w14:textId="77777777"/>
        </w:tc>
        <w:tc>
          <w:tcPr>
            <w:tcW w:w="0" w:type="auto"/>
          </w:tcPr>
          <w:p w:rsidR="00D25182" w:rsidP="000D3220" w14:paraId="1FA65956" w14:textId="77777777"/>
        </w:tc>
        <w:tc>
          <w:tcPr>
            <w:tcW w:w="0" w:type="auto"/>
          </w:tcPr>
          <w:p w:rsidR="00D25182" w:rsidP="000D3220" w14:paraId="4BBDFB27" w14:textId="77777777"/>
        </w:tc>
      </w:tr>
      <w:tr w14:paraId="7A008918" w14:textId="77777777" w:rsidTr="00D25182">
        <w:tblPrEx>
          <w:tblW w:w="5000" w:type="pct"/>
          <w:tblLook w:val="04A0"/>
        </w:tblPrEx>
        <w:tc>
          <w:tcPr>
            <w:tcW w:w="3545" w:type="pct"/>
          </w:tcPr>
          <w:p w:rsidR="00D25182" w:rsidP="000D3220" w14:paraId="07CB1884" w14:textId="77777777"/>
        </w:tc>
        <w:tc>
          <w:tcPr>
            <w:tcW w:w="569" w:type="pct"/>
          </w:tcPr>
          <w:p w:rsidR="00D25182" w:rsidP="000D3220" w14:paraId="15783215" w14:textId="77777777"/>
        </w:tc>
        <w:tc>
          <w:tcPr>
            <w:tcW w:w="0" w:type="auto"/>
          </w:tcPr>
          <w:p w:rsidR="00D25182" w:rsidP="000D3220" w14:paraId="3F2616F6" w14:textId="77777777"/>
        </w:tc>
        <w:tc>
          <w:tcPr>
            <w:tcW w:w="0" w:type="auto"/>
          </w:tcPr>
          <w:p w:rsidR="00D25182" w:rsidP="000D3220" w14:paraId="334BB236" w14:textId="77777777"/>
        </w:tc>
      </w:tr>
      <w:tr w14:paraId="2B222B18" w14:textId="77777777" w:rsidTr="00D25182">
        <w:tblPrEx>
          <w:tblW w:w="5000" w:type="pct"/>
          <w:tblLook w:val="04A0"/>
        </w:tblPrEx>
        <w:tc>
          <w:tcPr>
            <w:tcW w:w="3545" w:type="pct"/>
          </w:tcPr>
          <w:p w:rsidR="00D25182" w:rsidP="000D3220" w14:paraId="0C6052C6" w14:textId="77777777"/>
        </w:tc>
        <w:tc>
          <w:tcPr>
            <w:tcW w:w="569" w:type="pct"/>
          </w:tcPr>
          <w:p w:rsidR="00D25182" w:rsidP="000D3220" w14:paraId="66543B50" w14:textId="77777777"/>
        </w:tc>
        <w:tc>
          <w:tcPr>
            <w:tcW w:w="0" w:type="auto"/>
          </w:tcPr>
          <w:p w:rsidR="00D25182" w:rsidP="000D3220" w14:paraId="48744D8B" w14:textId="77777777"/>
        </w:tc>
        <w:tc>
          <w:tcPr>
            <w:tcW w:w="0" w:type="auto"/>
          </w:tcPr>
          <w:p w:rsidR="00D25182" w:rsidP="000D3220" w14:paraId="30CFB366" w14:textId="77777777"/>
        </w:tc>
      </w:tr>
      <w:tr w14:paraId="6351C3E7" w14:textId="77777777" w:rsidTr="00D25182">
        <w:tblPrEx>
          <w:tblW w:w="5000" w:type="pct"/>
          <w:tblLook w:val="04A0"/>
        </w:tblPrEx>
        <w:tc>
          <w:tcPr>
            <w:tcW w:w="3545" w:type="pct"/>
          </w:tcPr>
          <w:p w:rsidR="00D25182" w:rsidP="000D3220" w14:paraId="2C7E3FF5" w14:textId="77777777"/>
        </w:tc>
        <w:tc>
          <w:tcPr>
            <w:tcW w:w="569" w:type="pct"/>
          </w:tcPr>
          <w:p w:rsidR="00D25182" w:rsidP="000D3220" w14:paraId="02685593" w14:textId="77777777"/>
        </w:tc>
        <w:tc>
          <w:tcPr>
            <w:tcW w:w="0" w:type="auto"/>
          </w:tcPr>
          <w:p w:rsidR="00D25182" w:rsidP="000D3220" w14:paraId="77A7AB63" w14:textId="77777777"/>
        </w:tc>
        <w:tc>
          <w:tcPr>
            <w:tcW w:w="0" w:type="auto"/>
          </w:tcPr>
          <w:p w:rsidR="00D25182" w:rsidP="000D3220" w14:paraId="7666DDA4" w14:textId="77777777"/>
        </w:tc>
      </w:tr>
      <w:tr w14:paraId="7FEA5E64" w14:textId="77777777" w:rsidTr="00D25182">
        <w:tblPrEx>
          <w:tblW w:w="5000" w:type="pct"/>
          <w:tblLook w:val="04A0"/>
        </w:tblPrEx>
        <w:tc>
          <w:tcPr>
            <w:tcW w:w="3545" w:type="pct"/>
          </w:tcPr>
          <w:p w:rsidR="00D25182" w:rsidP="000D3220" w14:paraId="2930AF5F" w14:textId="77777777"/>
        </w:tc>
        <w:tc>
          <w:tcPr>
            <w:tcW w:w="569" w:type="pct"/>
          </w:tcPr>
          <w:p w:rsidR="00D25182" w:rsidP="000D3220" w14:paraId="4BC4A4EE" w14:textId="77777777"/>
        </w:tc>
        <w:tc>
          <w:tcPr>
            <w:tcW w:w="0" w:type="auto"/>
          </w:tcPr>
          <w:p w:rsidR="00D25182" w:rsidP="000D3220" w14:paraId="51F81AFF" w14:textId="77777777"/>
        </w:tc>
        <w:tc>
          <w:tcPr>
            <w:tcW w:w="0" w:type="auto"/>
          </w:tcPr>
          <w:p w:rsidR="00D25182" w:rsidP="000D3220" w14:paraId="36308EFD" w14:textId="77777777"/>
        </w:tc>
      </w:tr>
      <w:tr w14:paraId="4B89C1DB" w14:textId="77777777" w:rsidTr="00D25182">
        <w:tblPrEx>
          <w:tblW w:w="5000" w:type="pct"/>
          <w:tblLook w:val="04A0"/>
        </w:tblPrEx>
        <w:tc>
          <w:tcPr>
            <w:tcW w:w="3545" w:type="pct"/>
          </w:tcPr>
          <w:p w:rsidR="00D25182" w:rsidP="000D3220" w14:paraId="24BCB28F" w14:textId="77777777"/>
        </w:tc>
        <w:tc>
          <w:tcPr>
            <w:tcW w:w="569" w:type="pct"/>
          </w:tcPr>
          <w:p w:rsidR="00D25182" w:rsidP="000D3220" w14:paraId="761AF0E3" w14:textId="77777777"/>
        </w:tc>
        <w:tc>
          <w:tcPr>
            <w:tcW w:w="0" w:type="auto"/>
          </w:tcPr>
          <w:p w:rsidR="00D25182" w:rsidP="000D3220" w14:paraId="0298259C" w14:textId="77777777"/>
        </w:tc>
        <w:tc>
          <w:tcPr>
            <w:tcW w:w="0" w:type="auto"/>
          </w:tcPr>
          <w:p w:rsidR="00D25182" w:rsidP="000D3220" w14:paraId="21E78FF0" w14:textId="77777777"/>
        </w:tc>
      </w:tr>
      <w:tr w14:paraId="2228487E" w14:textId="77777777" w:rsidTr="00D25182">
        <w:tblPrEx>
          <w:tblW w:w="5000" w:type="pct"/>
          <w:tblLook w:val="04A0"/>
        </w:tblPrEx>
        <w:tc>
          <w:tcPr>
            <w:tcW w:w="3545" w:type="pct"/>
          </w:tcPr>
          <w:p w:rsidR="00D25182" w:rsidP="000D3220" w14:paraId="2E17611A" w14:textId="77777777"/>
        </w:tc>
        <w:tc>
          <w:tcPr>
            <w:tcW w:w="569" w:type="pct"/>
          </w:tcPr>
          <w:p w:rsidR="00D25182" w:rsidP="000D3220" w14:paraId="51F4F338" w14:textId="77777777"/>
        </w:tc>
        <w:tc>
          <w:tcPr>
            <w:tcW w:w="0" w:type="auto"/>
          </w:tcPr>
          <w:p w:rsidR="00D25182" w:rsidP="000D3220" w14:paraId="3D237DD7" w14:textId="77777777"/>
        </w:tc>
        <w:tc>
          <w:tcPr>
            <w:tcW w:w="0" w:type="auto"/>
          </w:tcPr>
          <w:p w:rsidR="00D25182" w:rsidP="000D3220" w14:paraId="159F7A6C" w14:textId="77777777"/>
        </w:tc>
      </w:tr>
      <w:tr w14:paraId="5B877306" w14:textId="77777777" w:rsidTr="00D25182">
        <w:tblPrEx>
          <w:tblW w:w="5000" w:type="pct"/>
          <w:tblLook w:val="04A0"/>
        </w:tblPrEx>
        <w:tc>
          <w:tcPr>
            <w:tcW w:w="3545" w:type="pct"/>
          </w:tcPr>
          <w:p w:rsidR="00D25182" w:rsidP="000D3220" w14:paraId="65E83698" w14:textId="77777777"/>
        </w:tc>
        <w:tc>
          <w:tcPr>
            <w:tcW w:w="569" w:type="pct"/>
          </w:tcPr>
          <w:p w:rsidR="00D25182" w:rsidP="000D3220" w14:paraId="1883583D" w14:textId="77777777"/>
        </w:tc>
        <w:tc>
          <w:tcPr>
            <w:tcW w:w="0" w:type="auto"/>
          </w:tcPr>
          <w:p w:rsidR="00D25182" w:rsidP="000D3220" w14:paraId="01DCC8AC" w14:textId="77777777"/>
        </w:tc>
        <w:tc>
          <w:tcPr>
            <w:tcW w:w="0" w:type="auto"/>
          </w:tcPr>
          <w:p w:rsidR="00D25182" w:rsidP="000D3220" w14:paraId="0E0B1DEB" w14:textId="77777777"/>
        </w:tc>
      </w:tr>
    </w:tbl>
    <w:p w:rsidR="00F22C69" w:rsidP="000D3220" w14:paraId="146EBE3D" w14:textId="77777777"/>
    <w:sectPr w:rsidSect="003B4C45">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35807E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4F2B98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84"/>
      <w:gridCol w:w="227"/>
      <w:gridCol w:w="2155"/>
      <w:gridCol w:w="227"/>
      <w:gridCol w:w="2155"/>
      <w:gridCol w:w="227"/>
      <w:gridCol w:w="2155"/>
    </w:tblGrid>
    <w:tr w14:paraId="19D2F595" w14:textId="77777777" w:rsidTr="00C42FFC">
      <w:tblPrEx>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155" w:type="dxa"/>
          <w:tcBorders>
            <w:top w:val="nil"/>
            <w:bottom w:val="nil"/>
          </w:tcBorders>
        </w:tcPr>
        <w:p w:rsidR="00C5169C" w:rsidP="00B67D60" w14:paraId="3D793A8C" w14:textId="77777777">
          <w:pPr>
            <w:pStyle w:val="Footer"/>
            <w:rPr>
              <w:sz w:val="14"/>
              <w:szCs w:val="14"/>
            </w:rPr>
          </w:pPr>
        </w:p>
      </w:tc>
      <w:tc>
        <w:tcPr>
          <w:tcW w:w="227" w:type="dxa"/>
          <w:tcBorders>
            <w:top w:val="nil"/>
            <w:bottom w:val="nil"/>
          </w:tcBorders>
        </w:tcPr>
        <w:p w:rsidR="00C5169C" w:rsidRPr="00D76882" w:rsidP="00B67D60" w14:paraId="6EC7D670" w14:textId="77777777">
          <w:pPr>
            <w:pStyle w:val="Footer"/>
            <w:rPr>
              <w:sz w:val="14"/>
              <w:szCs w:val="14"/>
            </w:rPr>
          </w:pPr>
        </w:p>
      </w:tc>
      <w:tc>
        <w:tcPr>
          <w:tcW w:w="2155" w:type="dxa"/>
          <w:tcBorders>
            <w:top w:val="nil"/>
            <w:bottom w:val="nil"/>
          </w:tcBorders>
        </w:tcPr>
        <w:p w:rsidR="00C5169C" w:rsidP="00B67D60" w14:paraId="037A6EC4" w14:textId="77777777">
          <w:pPr>
            <w:pStyle w:val="Footer"/>
            <w:rPr>
              <w:sz w:val="14"/>
              <w:szCs w:val="14"/>
            </w:rPr>
          </w:pPr>
        </w:p>
      </w:tc>
      <w:tc>
        <w:tcPr>
          <w:tcW w:w="227" w:type="dxa"/>
          <w:tcBorders>
            <w:top w:val="nil"/>
            <w:bottom w:val="nil"/>
          </w:tcBorders>
        </w:tcPr>
        <w:p w:rsidR="00C5169C" w:rsidRPr="00D76882" w:rsidP="00B67D60" w14:paraId="0AF81439" w14:textId="77777777">
          <w:pPr>
            <w:pStyle w:val="Footer"/>
            <w:rPr>
              <w:sz w:val="14"/>
              <w:szCs w:val="14"/>
            </w:rPr>
          </w:pPr>
        </w:p>
      </w:tc>
      <w:tc>
        <w:tcPr>
          <w:tcW w:w="2155" w:type="dxa"/>
          <w:tcBorders>
            <w:top w:val="nil"/>
            <w:bottom w:val="nil"/>
          </w:tcBorders>
        </w:tcPr>
        <w:p w:rsidR="00C5169C" w:rsidP="00B67D60" w14:paraId="6A2C78F7" w14:textId="77777777">
          <w:pPr>
            <w:pStyle w:val="Footer"/>
            <w:rPr>
              <w:sz w:val="14"/>
              <w:szCs w:val="14"/>
            </w:rPr>
          </w:pPr>
        </w:p>
      </w:tc>
      <w:tc>
        <w:tcPr>
          <w:tcW w:w="227" w:type="dxa"/>
          <w:tcBorders>
            <w:top w:val="nil"/>
            <w:bottom w:val="nil"/>
          </w:tcBorders>
        </w:tcPr>
        <w:p w:rsidR="00C5169C" w:rsidRPr="00D76882" w:rsidP="00B67D60" w14:paraId="472986A7" w14:textId="77777777">
          <w:pPr>
            <w:pStyle w:val="Footer"/>
            <w:rPr>
              <w:sz w:val="14"/>
              <w:szCs w:val="14"/>
            </w:rPr>
          </w:pPr>
        </w:p>
      </w:tc>
      <w:tc>
        <w:tcPr>
          <w:tcW w:w="2155" w:type="dxa"/>
          <w:tcBorders>
            <w:top w:val="nil"/>
            <w:bottom w:val="nil"/>
          </w:tcBorders>
        </w:tcPr>
        <w:p w:rsidR="00C5169C" w:rsidP="00B67D60" w14:paraId="1F1F963A" w14:textId="77777777">
          <w:pPr>
            <w:pStyle w:val="Footer"/>
            <w:rPr>
              <w:sz w:val="14"/>
              <w:szCs w:val="14"/>
            </w:rPr>
          </w:pPr>
        </w:p>
      </w:tc>
    </w:tr>
    <w:tr w14:paraId="0AEB1953" w14:textId="77777777" w:rsidTr="00C42FFC">
      <w:tblPrEx>
        <w:tblW w:w="0" w:type="auto"/>
        <w:tblCellMar>
          <w:left w:w="0" w:type="dxa"/>
          <w:right w:w="0" w:type="dxa"/>
        </w:tblCellMar>
        <w:tblLook w:val="04A0"/>
      </w:tblPrEx>
      <w:tc>
        <w:tcPr>
          <w:tcW w:w="2155" w:type="dxa"/>
          <w:tcBorders>
            <w:top w:val="nil"/>
            <w:bottom w:val="single" w:sz="4" w:space="0" w:color="auto"/>
          </w:tcBorders>
        </w:tcPr>
        <w:p w:rsidR="00B67D60" w:rsidP="00B67D60" w14:paraId="4D2405AF" w14:textId="77777777">
          <w:pPr>
            <w:pStyle w:val="Footer"/>
            <w:rPr>
              <w:sz w:val="14"/>
              <w:szCs w:val="14"/>
            </w:rPr>
          </w:pPr>
        </w:p>
      </w:tc>
      <w:tc>
        <w:tcPr>
          <w:tcW w:w="227" w:type="dxa"/>
          <w:tcBorders>
            <w:top w:val="nil"/>
            <w:bottom w:val="single" w:sz="4" w:space="0" w:color="auto"/>
          </w:tcBorders>
        </w:tcPr>
        <w:p w:rsidR="00B67D60" w:rsidRPr="00D76882" w:rsidP="00B67D60" w14:paraId="79FAD905" w14:textId="77777777">
          <w:pPr>
            <w:pStyle w:val="Footer"/>
            <w:rPr>
              <w:sz w:val="14"/>
              <w:szCs w:val="14"/>
            </w:rPr>
          </w:pPr>
        </w:p>
      </w:tc>
      <w:tc>
        <w:tcPr>
          <w:tcW w:w="2155" w:type="dxa"/>
          <w:tcBorders>
            <w:top w:val="nil"/>
            <w:bottom w:val="single" w:sz="4" w:space="0" w:color="auto"/>
          </w:tcBorders>
        </w:tcPr>
        <w:p w:rsidR="00B67D60" w:rsidP="00B67D60" w14:paraId="27649BD7" w14:textId="77777777">
          <w:pPr>
            <w:pStyle w:val="Footer"/>
            <w:rPr>
              <w:sz w:val="14"/>
              <w:szCs w:val="14"/>
            </w:rPr>
          </w:pPr>
        </w:p>
      </w:tc>
      <w:tc>
        <w:tcPr>
          <w:tcW w:w="227" w:type="dxa"/>
          <w:tcBorders>
            <w:top w:val="nil"/>
            <w:bottom w:val="single" w:sz="4" w:space="0" w:color="auto"/>
          </w:tcBorders>
        </w:tcPr>
        <w:p w:rsidR="00B67D60" w:rsidRPr="00D76882" w:rsidP="00B67D60" w14:paraId="59BB46DE" w14:textId="77777777">
          <w:pPr>
            <w:pStyle w:val="Footer"/>
            <w:rPr>
              <w:sz w:val="14"/>
              <w:szCs w:val="14"/>
            </w:rPr>
          </w:pPr>
        </w:p>
      </w:tc>
      <w:tc>
        <w:tcPr>
          <w:tcW w:w="2155" w:type="dxa"/>
          <w:tcBorders>
            <w:top w:val="nil"/>
            <w:bottom w:val="single" w:sz="4" w:space="0" w:color="auto"/>
          </w:tcBorders>
        </w:tcPr>
        <w:p w:rsidR="00B67D60" w:rsidP="00B67D60" w14:paraId="009AA298" w14:textId="77777777">
          <w:pPr>
            <w:pStyle w:val="Footer"/>
            <w:rPr>
              <w:sz w:val="14"/>
              <w:szCs w:val="14"/>
            </w:rPr>
          </w:pPr>
        </w:p>
      </w:tc>
      <w:tc>
        <w:tcPr>
          <w:tcW w:w="227" w:type="dxa"/>
          <w:tcBorders>
            <w:top w:val="nil"/>
            <w:bottom w:val="single" w:sz="4" w:space="0" w:color="auto"/>
          </w:tcBorders>
        </w:tcPr>
        <w:p w:rsidR="00B67D60" w:rsidRPr="00D76882" w:rsidP="00B67D60" w14:paraId="475C62EE" w14:textId="77777777">
          <w:pPr>
            <w:pStyle w:val="Footer"/>
            <w:rPr>
              <w:sz w:val="14"/>
              <w:szCs w:val="14"/>
            </w:rPr>
          </w:pPr>
        </w:p>
      </w:tc>
      <w:tc>
        <w:tcPr>
          <w:tcW w:w="2155" w:type="dxa"/>
          <w:tcBorders>
            <w:top w:val="nil"/>
            <w:bottom w:val="single" w:sz="4" w:space="0" w:color="auto"/>
          </w:tcBorders>
        </w:tcPr>
        <w:p w:rsidR="00B67D60" w:rsidP="00B67D60" w14:paraId="3E4C29C4" w14:textId="77777777">
          <w:pPr>
            <w:pStyle w:val="Footer"/>
            <w:rPr>
              <w:sz w:val="14"/>
              <w:szCs w:val="14"/>
            </w:rPr>
          </w:pPr>
        </w:p>
      </w:tc>
    </w:tr>
    <w:tr w14:paraId="52622896" w14:textId="77777777" w:rsidTr="00C42FFC">
      <w:tblPrEx>
        <w:tblW w:w="0" w:type="auto"/>
        <w:tblCellMar>
          <w:left w:w="0" w:type="dxa"/>
          <w:right w:w="0" w:type="dxa"/>
        </w:tblCellMar>
        <w:tblLook w:val="04A0"/>
      </w:tblPrEx>
      <w:tc>
        <w:tcPr>
          <w:tcW w:w="2155" w:type="dxa"/>
          <w:tcBorders>
            <w:top w:val="single" w:sz="4" w:space="0" w:color="auto"/>
          </w:tcBorders>
        </w:tcPr>
        <w:p w:rsidR="00B67D60" w:rsidRPr="008E50A5" w:rsidP="00B67D60" w14:paraId="783745D0" w14:textId="77777777">
          <w:pPr>
            <w:pStyle w:val="Footer"/>
            <w:rPr>
              <w:sz w:val="14"/>
              <w:szCs w:val="14"/>
            </w:rPr>
          </w:pPr>
          <w:r w:rsidRPr="008E50A5">
            <w:rPr>
              <w:sz w:val="14"/>
              <w:szCs w:val="14"/>
            </w:rPr>
            <w:t>E-postadresse:</w:t>
          </w:r>
        </w:p>
        <w:p w:rsidR="00B67D60" w:rsidRPr="008E50A5" w:rsidP="00B67D60" w14:paraId="7B7E3365" w14:textId="77777777">
          <w:pPr>
            <w:pStyle w:val="Footer"/>
            <w:rPr>
              <w:sz w:val="14"/>
              <w:szCs w:val="14"/>
            </w:rPr>
          </w:pPr>
          <w:r>
            <w:rPr>
              <w:rStyle w:val="Hyperlink"/>
              <w:color w:val="auto"/>
              <w:sz w:val="14"/>
              <w:szCs w:val="14"/>
            </w:rPr>
            <w:t>sf</w:t>
          </w:r>
          <w:r w:rsidR="00E32123">
            <w:rPr>
              <w:rStyle w:val="Hyperlink"/>
              <w:color w:val="auto"/>
              <w:sz w:val="14"/>
              <w:szCs w:val="14"/>
            </w:rPr>
            <w:t>tl</w:t>
          </w:r>
          <w:r w:rsidRPr="008E50A5" w:rsidR="006F5364">
            <w:rPr>
              <w:rStyle w:val="Hyperlink"/>
              <w:color w:val="auto"/>
              <w:sz w:val="14"/>
              <w:szCs w:val="14"/>
            </w:rPr>
            <w:t>post</w:t>
          </w:r>
          <w:r w:rsidRPr="008E50A5">
            <w:rPr>
              <w:rStyle w:val="Hyperlink"/>
              <w:color w:val="auto"/>
              <w:sz w:val="14"/>
              <w:szCs w:val="14"/>
            </w:rPr>
            <w:t>@</w:t>
          </w:r>
          <w:r>
            <w:rPr>
              <w:rStyle w:val="Hyperlink"/>
              <w:color w:val="auto"/>
              <w:sz w:val="14"/>
              <w:szCs w:val="14"/>
            </w:rPr>
            <w:t>statsforvalteren</w:t>
          </w:r>
          <w:r w:rsidRPr="008E50A5">
            <w:rPr>
              <w:rStyle w:val="Hyperlink"/>
              <w:color w:val="auto"/>
              <w:sz w:val="14"/>
              <w:szCs w:val="14"/>
            </w:rPr>
            <w:t>.no</w:t>
          </w:r>
          <w:r w:rsidRPr="008E50A5">
            <w:rPr>
              <w:sz w:val="14"/>
              <w:szCs w:val="14"/>
            </w:rPr>
            <w:t xml:space="preserve"> Sikker melding:</w:t>
          </w:r>
        </w:p>
        <w:p w:rsidR="00B67D60" w:rsidRPr="008E50A5" w:rsidP="00B67D60" w14:paraId="3386AD31" w14:textId="77777777">
          <w:pPr>
            <w:pStyle w:val="Footer"/>
            <w:rPr>
              <w:sz w:val="14"/>
              <w:szCs w:val="14"/>
            </w:rPr>
          </w:pPr>
          <w:r w:rsidRPr="008E50A5">
            <w:rPr>
              <w:rStyle w:val="Hyperlink"/>
              <w:color w:val="auto"/>
              <w:sz w:val="14"/>
              <w:szCs w:val="14"/>
            </w:rPr>
            <w:t>www.</w:t>
          </w:r>
          <w:r w:rsidR="00924F71">
            <w:rPr>
              <w:rStyle w:val="Hyperlink"/>
              <w:color w:val="auto"/>
              <w:sz w:val="14"/>
              <w:szCs w:val="14"/>
            </w:rPr>
            <w:t>statsforvalteren</w:t>
          </w:r>
          <w:r w:rsidRPr="008E50A5">
            <w:rPr>
              <w:rStyle w:val="Hyperlink"/>
              <w:color w:val="auto"/>
              <w:sz w:val="14"/>
              <w:szCs w:val="14"/>
            </w:rPr>
            <w:t>.no/melding</w:t>
          </w:r>
        </w:p>
      </w:tc>
      <w:tc>
        <w:tcPr>
          <w:tcW w:w="227" w:type="dxa"/>
          <w:tcBorders>
            <w:top w:val="single" w:sz="4" w:space="0" w:color="auto"/>
          </w:tcBorders>
        </w:tcPr>
        <w:p w:rsidR="00B67D60" w:rsidRPr="008E50A5" w:rsidP="00B67D60" w14:paraId="50AF023F" w14:textId="77777777">
          <w:pPr>
            <w:pStyle w:val="Footer"/>
            <w:rPr>
              <w:sz w:val="14"/>
              <w:szCs w:val="14"/>
            </w:rPr>
          </w:pPr>
        </w:p>
      </w:tc>
      <w:tc>
        <w:tcPr>
          <w:tcW w:w="2155" w:type="dxa"/>
          <w:tcBorders>
            <w:top w:val="single" w:sz="4" w:space="0" w:color="auto"/>
          </w:tcBorders>
        </w:tcPr>
        <w:p w:rsidR="00B67D60" w:rsidRPr="008E50A5" w:rsidP="00B67D60" w14:paraId="64F615BC" w14:textId="77777777">
          <w:pPr>
            <w:pStyle w:val="Footer"/>
            <w:rPr>
              <w:sz w:val="14"/>
              <w:szCs w:val="14"/>
            </w:rPr>
          </w:pPr>
          <w:r w:rsidRPr="008E50A5">
            <w:rPr>
              <w:sz w:val="14"/>
              <w:szCs w:val="14"/>
            </w:rPr>
            <w:t>Postadresse:</w:t>
          </w:r>
        </w:p>
        <w:p w:rsidR="00B67D60" w:rsidRPr="008E50A5" w:rsidP="00B67D60" w14:paraId="4FACA7E2" w14:textId="77777777">
          <w:pPr>
            <w:pStyle w:val="Footer"/>
            <w:rPr>
              <w:sz w:val="14"/>
              <w:szCs w:val="14"/>
            </w:rPr>
          </w:pPr>
          <w:r>
            <w:rPr>
              <w:sz w:val="14"/>
              <w:szCs w:val="14"/>
            </w:rPr>
            <w:t>Postboks 2600</w:t>
          </w:r>
        </w:p>
        <w:p w:rsidR="00B67D60" w:rsidRPr="008E50A5" w:rsidP="00B67D60" w14:paraId="2DB17A18" w14:textId="77777777">
          <w:pPr>
            <w:pStyle w:val="Footer"/>
            <w:rPr>
              <w:sz w:val="14"/>
              <w:szCs w:val="14"/>
            </w:rPr>
          </w:pPr>
          <w:r>
            <w:rPr>
              <w:sz w:val="14"/>
              <w:szCs w:val="14"/>
            </w:rPr>
            <w:t>7734 Steinkjer</w:t>
          </w:r>
        </w:p>
      </w:tc>
      <w:tc>
        <w:tcPr>
          <w:tcW w:w="227" w:type="dxa"/>
          <w:tcBorders>
            <w:top w:val="single" w:sz="4" w:space="0" w:color="auto"/>
          </w:tcBorders>
        </w:tcPr>
        <w:p w:rsidR="00B67D60" w:rsidRPr="008E50A5" w:rsidP="00B67D60" w14:paraId="0CA5C144" w14:textId="77777777">
          <w:pPr>
            <w:pStyle w:val="Footer"/>
            <w:rPr>
              <w:sz w:val="14"/>
              <w:szCs w:val="14"/>
            </w:rPr>
          </w:pPr>
        </w:p>
      </w:tc>
      <w:tc>
        <w:tcPr>
          <w:tcW w:w="2155" w:type="dxa"/>
          <w:tcBorders>
            <w:top w:val="single" w:sz="4" w:space="0" w:color="auto"/>
          </w:tcBorders>
        </w:tcPr>
        <w:p w:rsidR="00B67D60" w:rsidRPr="008E50A5" w:rsidP="00B67D60" w14:paraId="4DF3F950" w14:textId="77777777">
          <w:pPr>
            <w:pStyle w:val="Footer"/>
            <w:rPr>
              <w:sz w:val="14"/>
              <w:szCs w:val="14"/>
            </w:rPr>
          </w:pPr>
          <w:r w:rsidRPr="008E50A5">
            <w:rPr>
              <w:sz w:val="14"/>
              <w:szCs w:val="14"/>
            </w:rPr>
            <w:t>Besøksadresse:</w:t>
          </w:r>
        </w:p>
        <w:p w:rsidR="00B67D60" w:rsidRPr="008E50A5" w:rsidP="00B67D60" w14:paraId="23B040F7" w14:textId="77777777">
          <w:pPr>
            <w:pStyle w:val="Footer"/>
            <w:rPr>
              <w:sz w:val="14"/>
              <w:szCs w:val="14"/>
            </w:rPr>
          </w:pPr>
          <w:r>
            <w:rPr>
              <w:sz w:val="14"/>
              <w:szCs w:val="14"/>
            </w:rPr>
            <w:t>Strandveien 38, Steinkjer</w:t>
          </w:r>
        </w:p>
        <w:p w:rsidR="00B67D60" w:rsidRPr="008E50A5" w:rsidP="00B67D60" w14:paraId="3BB90179" w14:textId="77777777">
          <w:pPr>
            <w:pStyle w:val="Footer"/>
            <w:rPr>
              <w:sz w:val="14"/>
              <w:szCs w:val="14"/>
            </w:rPr>
          </w:pPr>
          <w:r>
            <w:rPr>
              <w:sz w:val="14"/>
              <w:szCs w:val="14"/>
            </w:rPr>
            <w:t>Prinsens</w:t>
          </w:r>
          <w:r w:rsidR="0082180E">
            <w:rPr>
              <w:sz w:val="14"/>
              <w:szCs w:val="14"/>
            </w:rPr>
            <w:t xml:space="preserve"> gt. 1</w:t>
          </w:r>
          <w:r>
            <w:rPr>
              <w:sz w:val="14"/>
              <w:szCs w:val="14"/>
            </w:rPr>
            <w:t>, Trondheim</w:t>
          </w:r>
        </w:p>
      </w:tc>
      <w:tc>
        <w:tcPr>
          <w:tcW w:w="227" w:type="dxa"/>
          <w:tcBorders>
            <w:top w:val="single" w:sz="4" w:space="0" w:color="auto"/>
          </w:tcBorders>
        </w:tcPr>
        <w:p w:rsidR="00B67D60" w:rsidRPr="008E50A5" w:rsidP="00B67D60" w14:paraId="437A4C35" w14:textId="77777777">
          <w:pPr>
            <w:pStyle w:val="Footer"/>
            <w:rPr>
              <w:sz w:val="14"/>
              <w:szCs w:val="14"/>
            </w:rPr>
          </w:pPr>
        </w:p>
      </w:tc>
      <w:tc>
        <w:tcPr>
          <w:tcW w:w="2155" w:type="dxa"/>
          <w:tcBorders>
            <w:top w:val="single" w:sz="4" w:space="0" w:color="auto"/>
          </w:tcBorders>
        </w:tcPr>
        <w:p w:rsidR="00B67D60" w:rsidRPr="008E50A5" w:rsidP="00B67D60" w14:paraId="45CA7182" w14:textId="77777777">
          <w:pPr>
            <w:pStyle w:val="Footer"/>
            <w:rPr>
              <w:sz w:val="14"/>
              <w:szCs w:val="14"/>
            </w:rPr>
          </w:pPr>
          <w:r w:rsidRPr="008E50A5">
            <w:rPr>
              <w:sz w:val="14"/>
              <w:szCs w:val="14"/>
            </w:rPr>
            <w:t xml:space="preserve">Telefon: </w:t>
          </w:r>
          <w:r w:rsidR="00E32123">
            <w:rPr>
              <w:sz w:val="14"/>
              <w:szCs w:val="14"/>
            </w:rPr>
            <w:t>74 16 80 00</w:t>
          </w:r>
        </w:p>
        <w:p w:rsidR="00B67D60" w:rsidRPr="0082180E" w:rsidP="00600844" w14:paraId="0271636B" w14:textId="77777777">
          <w:pPr>
            <w:pStyle w:val="NoSpacing"/>
            <w:rPr>
              <w:lang w:val="nb-NO"/>
            </w:rPr>
          </w:pPr>
          <w:r w:rsidRPr="0082180E">
            <w:rPr>
              <w:rStyle w:val="Hyperlink"/>
              <w:color w:val="auto"/>
              <w:sz w:val="14"/>
              <w:szCs w:val="14"/>
              <w:lang w:val="nb-NO"/>
            </w:rPr>
            <w:t>www.</w:t>
          </w:r>
          <w:r w:rsidRPr="009A48DC" w:rsidR="00924F71">
            <w:rPr>
              <w:rStyle w:val="Hyperlink"/>
              <w:color w:val="auto"/>
              <w:sz w:val="14"/>
              <w:szCs w:val="14"/>
              <w:lang w:val="nb-NO"/>
            </w:rPr>
            <w:t>statsforvalteren</w:t>
          </w:r>
          <w:r w:rsidRPr="0082180E">
            <w:rPr>
              <w:rStyle w:val="Hyperlink"/>
              <w:color w:val="auto"/>
              <w:sz w:val="14"/>
              <w:szCs w:val="14"/>
              <w:lang w:val="nb-NO"/>
            </w:rPr>
            <w:t>.no/</w:t>
          </w:r>
          <w:r w:rsidRPr="0082180E" w:rsidR="00E32123">
            <w:rPr>
              <w:rStyle w:val="Hyperlink"/>
              <w:color w:val="auto"/>
              <w:sz w:val="14"/>
              <w:szCs w:val="14"/>
              <w:lang w:val="nb-NO"/>
            </w:rPr>
            <w:t>tl</w:t>
          </w:r>
        </w:p>
        <w:p w:rsidR="00B67D60" w:rsidRPr="008E50A5" w:rsidP="00B67D60" w14:paraId="52FFB585" w14:textId="77777777">
          <w:pPr>
            <w:pStyle w:val="Footer"/>
            <w:rPr>
              <w:sz w:val="14"/>
              <w:szCs w:val="14"/>
            </w:rPr>
          </w:pPr>
        </w:p>
        <w:p w:rsidR="00B67D60" w:rsidRPr="008E50A5" w:rsidP="00B67D60" w14:paraId="36E38B42" w14:textId="77777777">
          <w:pPr>
            <w:pStyle w:val="Footer"/>
            <w:rPr>
              <w:sz w:val="14"/>
              <w:szCs w:val="14"/>
            </w:rPr>
          </w:pPr>
          <w:r w:rsidRPr="008E50A5">
            <w:rPr>
              <w:sz w:val="14"/>
              <w:szCs w:val="14"/>
            </w:rPr>
            <w:t xml:space="preserve">Org.nr. </w:t>
          </w:r>
          <w:r w:rsidR="00CA193F">
            <w:rPr>
              <w:sz w:val="14"/>
              <w:szCs w:val="14"/>
            </w:rPr>
            <w:t>974 76</w:t>
          </w:r>
          <w:r w:rsidR="0019696F">
            <w:rPr>
              <w:sz w:val="14"/>
              <w:szCs w:val="14"/>
            </w:rPr>
            <w:t>4</w:t>
          </w:r>
          <w:r w:rsidR="00CA193F">
            <w:rPr>
              <w:sz w:val="14"/>
              <w:szCs w:val="14"/>
            </w:rPr>
            <w:t xml:space="preserve"> </w:t>
          </w:r>
          <w:r w:rsidR="00E32123">
            <w:rPr>
              <w:sz w:val="14"/>
              <w:szCs w:val="14"/>
            </w:rPr>
            <w:t>350</w:t>
          </w:r>
        </w:p>
      </w:tc>
    </w:tr>
  </w:tbl>
  <w:p w:rsidR="00B67D60" w:rsidP="00C5169C" w14:paraId="1ABBD2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465D7" w14:paraId="08246B12" w14:textId="77777777">
      <w:r>
        <w:separator/>
      </w:r>
    </w:p>
  </w:footnote>
  <w:footnote w:type="continuationSeparator" w:id="1">
    <w:p w:rsidR="002465D7" w14:paraId="536C52A0" w14:textId="77777777">
      <w:r>
        <w:continuationSeparator/>
      </w:r>
    </w:p>
  </w:footnote>
  <w:footnote w:id="2">
    <w:p w:rsidR="00D25182" w:rsidP="00D25182" w14:paraId="4AB7486B" w14:textId="77777777">
      <w:pPr>
        <w:pStyle w:val="FootnoteText"/>
      </w:pPr>
      <w:r w:rsidRPr="009057BA">
        <w:rPr>
          <w:rStyle w:val="FootnoteReference"/>
        </w:rPr>
        <w:footnoteRef/>
      </w:r>
      <w:r>
        <w:t xml:space="preserve"> </w:t>
      </w:r>
      <w:hyperlink r:id="rId1" w:history="1">
        <w:r>
          <w:rPr>
            <w:rStyle w:val="Hyperlink"/>
          </w:rPr>
          <w:t>Vitenskapelig råd for lakseforvaltning VRL – innsyn sjøørret</w:t>
        </w:r>
      </w:hyperlink>
    </w:p>
  </w:footnote>
  <w:footnote w:id="3">
    <w:p w:rsidR="00D25182" w:rsidP="00D25182" w14:paraId="74620F6D" w14:textId="77777777">
      <w:pPr>
        <w:pStyle w:val="FootnoteText"/>
      </w:pPr>
      <w:r w:rsidRPr="009057BA">
        <w:rPr>
          <w:rStyle w:val="FootnoteReference"/>
        </w:rPr>
        <w:footnoteRef/>
      </w:r>
      <w:r>
        <w:t xml:space="preserve"> </w:t>
      </w:r>
      <w:hyperlink r:id="rId2" w:history="1">
        <w:r>
          <w:rPr>
            <w:rStyle w:val="Hyperlink"/>
          </w:rPr>
          <w:t>Lakseregisteret sjølaksefiske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06CF2A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31C133C0"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7449F2B8" w14:textId="77777777">
          <w:pPr>
            <w:pStyle w:val="Header"/>
          </w:pPr>
        </w:p>
      </w:tc>
      <w:tc>
        <w:tcPr>
          <w:tcW w:w="284" w:type="dxa"/>
        </w:tcPr>
        <w:p w:rsidR="00B67D60" w:rsidP="0092267D" w14:paraId="53F166B7" w14:textId="77777777">
          <w:pPr>
            <w:pStyle w:val="Header"/>
          </w:pPr>
        </w:p>
      </w:tc>
      <w:tc>
        <w:tcPr>
          <w:tcW w:w="4557" w:type="dxa"/>
        </w:tcPr>
        <w:p w:rsidR="00B67D60" w:rsidP="0092267D" w14:paraId="6EFE6DA5"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5BEB1A4D"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3C4C63A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Template.rtf"/>
    <w:dataSource r:id="rId1"/>
    <w:activeRecord w:val="1"/>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186E"/>
    <w:rsid w:val="00026B78"/>
    <w:rsid w:val="00054275"/>
    <w:rsid w:val="00060003"/>
    <w:rsid w:val="00060BF7"/>
    <w:rsid w:val="0006610A"/>
    <w:rsid w:val="000821CE"/>
    <w:rsid w:val="0009096E"/>
    <w:rsid w:val="0009692E"/>
    <w:rsid w:val="000A0548"/>
    <w:rsid w:val="000B5D53"/>
    <w:rsid w:val="000C608D"/>
    <w:rsid w:val="000C70B4"/>
    <w:rsid w:val="000D10BD"/>
    <w:rsid w:val="000D3220"/>
    <w:rsid w:val="000D4F02"/>
    <w:rsid w:val="000E2395"/>
    <w:rsid w:val="001052AB"/>
    <w:rsid w:val="0010666E"/>
    <w:rsid w:val="0012022B"/>
    <w:rsid w:val="001229E8"/>
    <w:rsid w:val="00131C6F"/>
    <w:rsid w:val="00152746"/>
    <w:rsid w:val="00161275"/>
    <w:rsid w:val="0017704E"/>
    <w:rsid w:val="00186737"/>
    <w:rsid w:val="0019696F"/>
    <w:rsid w:val="001B6B54"/>
    <w:rsid w:val="001E53C2"/>
    <w:rsid w:val="001F712E"/>
    <w:rsid w:val="002120D0"/>
    <w:rsid w:val="00223F02"/>
    <w:rsid w:val="00226258"/>
    <w:rsid w:val="002465D7"/>
    <w:rsid w:val="00290030"/>
    <w:rsid w:val="00296E34"/>
    <w:rsid w:val="00297386"/>
    <w:rsid w:val="002B202C"/>
    <w:rsid w:val="002B34A6"/>
    <w:rsid w:val="002C7E6F"/>
    <w:rsid w:val="002D1FCB"/>
    <w:rsid w:val="002D7159"/>
    <w:rsid w:val="002F0B66"/>
    <w:rsid w:val="003106D9"/>
    <w:rsid w:val="003261ED"/>
    <w:rsid w:val="00334133"/>
    <w:rsid w:val="003553C4"/>
    <w:rsid w:val="0035664C"/>
    <w:rsid w:val="003861D1"/>
    <w:rsid w:val="0039131D"/>
    <w:rsid w:val="003923F7"/>
    <w:rsid w:val="003952A7"/>
    <w:rsid w:val="00397CEC"/>
    <w:rsid w:val="003B22D0"/>
    <w:rsid w:val="003B4C45"/>
    <w:rsid w:val="003D2116"/>
    <w:rsid w:val="003D3685"/>
    <w:rsid w:val="003E005D"/>
    <w:rsid w:val="0043179E"/>
    <w:rsid w:val="0043349A"/>
    <w:rsid w:val="004401AF"/>
    <w:rsid w:val="00447716"/>
    <w:rsid w:val="00452B43"/>
    <w:rsid w:val="004612D0"/>
    <w:rsid w:val="004756CE"/>
    <w:rsid w:val="00476735"/>
    <w:rsid w:val="004768C5"/>
    <w:rsid w:val="00477F15"/>
    <w:rsid w:val="00481BF4"/>
    <w:rsid w:val="004A5240"/>
    <w:rsid w:val="004B0A25"/>
    <w:rsid w:val="004B0F1A"/>
    <w:rsid w:val="004B70DA"/>
    <w:rsid w:val="004C0403"/>
    <w:rsid w:val="004E34AD"/>
    <w:rsid w:val="004F0A6B"/>
    <w:rsid w:val="004F6362"/>
    <w:rsid w:val="00503D4F"/>
    <w:rsid w:val="00514BA1"/>
    <w:rsid w:val="005303D9"/>
    <w:rsid w:val="0054339D"/>
    <w:rsid w:val="005610D9"/>
    <w:rsid w:val="00572C73"/>
    <w:rsid w:val="00577E80"/>
    <w:rsid w:val="00593102"/>
    <w:rsid w:val="0059616E"/>
    <w:rsid w:val="005A2DD0"/>
    <w:rsid w:val="005B15F9"/>
    <w:rsid w:val="005C4605"/>
    <w:rsid w:val="005D697D"/>
    <w:rsid w:val="005F463D"/>
    <w:rsid w:val="005F795F"/>
    <w:rsid w:val="00600844"/>
    <w:rsid w:val="006434E7"/>
    <w:rsid w:val="00683A2A"/>
    <w:rsid w:val="006965AB"/>
    <w:rsid w:val="006D0E50"/>
    <w:rsid w:val="006D2D6B"/>
    <w:rsid w:val="006E15B2"/>
    <w:rsid w:val="006F5364"/>
    <w:rsid w:val="007014D3"/>
    <w:rsid w:val="007151FA"/>
    <w:rsid w:val="00742E78"/>
    <w:rsid w:val="00750EDD"/>
    <w:rsid w:val="00767A5C"/>
    <w:rsid w:val="007B161A"/>
    <w:rsid w:val="007C39CD"/>
    <w:rsid w:val="007C6FE5"/>
    <w:rsid w:val="007D26E4"/>
    <w:rsid w:val="007D2CF7"/>
    <w:rsid w:val="007D7980"/>
    <w:rsid w:val="007E47E4"/>
    <w:rsid w:val="007E573C"/>
    <w:rsid w:val="00816153"/>
    <w:rsid w:val="00817C11"/>
    <w:rsid w:val="0082180E"/>
    <w:rsid w:val="008246D7"/>
    <w:rsid w:val="008422A3"/>
    <w:rsid w:val="0087160A"/>
    <w:rsid w:val="008747ED"/>
    <w:rsid w:val="00875E52"/>
    <w:rsid w:val="0087773B"/>
    <w:rsid w:val="00885B0E"/>
    <w:rsid w:val="00894E5F"/>
    <w:rsid w:val="008A051B"/>
    <w:rsid w:val="008A33F5"/>
    <w:rsid w:val="008B20A8"/>
    <w:rsid w:val="008B6D2E"/>
    <w:rsid w:val="008C38E0"/>
    <w:rsid w:val="008E50A5"/>
    <w:rsid w:val="009057BA"/>
    <w:rsid w:val="009163C4"/>
    <w:rsid w:val="0092267D"/>
    <w:rsid w:val="00924F71"/>
    <w:rsid w:val="00927029"/>
    <w:rsid w:val="00934D40"/>
    <w:rsid w:val="009432AB"/>
    <w:rsid w:val="009600E4"/>
    <w:rsid w:val="009A3E4D"/>
    <w:rsid w:val="009A48DC"/>
    <w:rsid w:val="009B43A2"/>
    <w:rsid w:val="009D6A5C"/>
    <w:rsid w:val="009F59A3"/>
    <w:rsid w:val="00A1566C"/>
    <w:rsid w:val="00A2358C"/>
    <w:rsid w:val="00A23FF2"/>
    <w:rsid w:val="00A40689"/>
    <w:rsid w:val="00A4506C"/>
    <w:rsid w:val="00A4573A"/>
    <w:rsid w:val="00A47724"/>
    <w:rsid w:val="00A518B6"/>
    <w:rsid w:val="00A5735B"/>
    <w:rsid w:val="00A60E0F"/>
    <w:rsid w:val="00A62C1B"/>
    <w:rsid w:val="00A81FDC"/>
    <w:rsid w:val="00A86298"/>
    <w:rsid w:val="00AA6C9D"/>
    <w:rsid w:val="00AB2CA1"/>
    <w:rsid w:val="00AD2850"/>
    <w:rsid w:val="00AD5DB0"/>
    <w:rsid w:val="00AD5DBF"/>
    <w:rsid w:val="00AE62C9"/>
    <w:rsid w:val="00AE6DC5"/>
    <w:rsid w:val="00AF6AB5"/>
    <w:rsid w:val="00B461C3"/>
    <w:rsid w:val="00B61526"/>
    <w:rsid w:val="00B61F58"/>
    <w:rsid w:val="00B67D60"/>
    <w:rsid w:val="00B92241"/>
    <w:rsid w:val="00B94446"/>
    <w:rsid w:val="00BC3F8A"/>
    <w:rsid w:val="00BC7265"/>
    <w:rsid w:val="00BE1E47"/>
    <w:rsid w:val="00BE73C1"/>
    <w:rsid w:val="00C03DBC"/>
    <w:rsid w:val="00C04FE9"/>
    <w:rsid w:val="00C228C0"/>
    <w:rsid w:val="00C35CAE"/>
    <w:rsid w:val="00C42FFC"/>
    <w:rsid w:val="00C5169C"/>
    <w:rsid w:val="00C61CC1"/>
    <w:rsid w:val="00C63A32"/>
    <w:rsid w:val="00C84BBC"/>
    <w:rsid w:val="00CA193F"/>
    <w:rsid w:val="00CB4275"/>
    <w:rsid w:val="00CE1BCB"/>
    <w:rsid w:val="00D07A3E"/>
    <w:rsid w:val="00D2429F"/>
    <w:rsid w:val="00D25182"/>
    <w:rsid w:val="00D764FD"/>
    <w:rsid w:val="00D76882"/>
    <w:rsid w:val="00D86658"/>
    <w:rsid w:val="00DA66EB"/>
    <w:rsid w:val="00DB4BD3"/>
    <w:rsid w:val="00DE5303"/>
    <w:rsid w:val="00DE5DA8"/>
    <w:rsid w:val="00DE714F"/>
    <w:rsid w:val="00E03AAC"/>
    <w:rsid w:val="00E07265"/>
    <w:rsid w:val="00E32123"/>
    <w:rsid w:val="00E612E5"/>
    <w:rsid w:val="00E61B5D"/>
    <w:rsid w:val="00E624D0"/>
    <w:rsid w:val="00E63B5B"/>
    <w:rsid w:val="00E85FCA"/>
    <w:rsid w:val="00EA2AD4"/>
    <w:rsid w:val="00EB5B6C"/>
    <w:rsid w:val="00EC3515"/>
    <w:rsid w:val="00EC4AA7"/>
    <w:rsid w:val="00ED0D91"/>
    <w:rsid w:val="00ED0DC2"/>
    <w:rsid w:val="00ED4605"/>
    <w:rsid w:val="00EF23D6"/>
    <w:rsid w:val="00EF2C47"/>
    <w:rsid w:val="00F01261"/>
    <w:rsid w:val="00F06CE1"/>
    <w:rsid w:val="00F22C69"/>
    <w:rsid w:val="00F3607F"/>
    <w:rsid w:val="00F4330E"/>
    <w:rsid w:val="00F846FE"/>
    <w:rsid w:val="00F936BE"/>
    <w:rsid w:val="00F94139"/>
    <w:rsid w:val="00FA161D"/>
    <w:rsid w:val="00FA600C"/>
    <w:rsid w:val="00FA62F6"/>
    <w:rsid w:val="00FC6DD0"/>
    <w:rsid w:val="00FE1685"/>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23BB4851"/>
  <w15:chartTrackingRefBased/>
  <w15:docId w15:val="{5F2E0F2B-E676-4FCF-AB91-063DA06E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character" w:styleId="UnresolvedMention">
    <w:name w:val="Unresolved Mention"/>
    <w:basedOn w:val="DefaultParagraphFont"/>
    <w:uiPriority w:val="99"/>
    <w:semiHidden/>
    <w:unhideWhenUsed/>
    <w:rsid w:val="005610D9"/>
    <w:rPr>
      <w:color w:val="605E5C"/>
      <w:shd w:val="clear" w:color="auto" w:fill="E1DFDD"/>
    </w:rPr>
  </w:style>
  <w:style w:type="paragraph" w:styleId="FootnoteText">
    <w:name w:val="footnote text"/>
    <w:basedOn w:val="Normal"/>
    <w:link w:val="FotnotetekstTegn"/>
    <w:uiPriority w:val="99"/>
    <w:semiHidden/>
    <w:unhideWhenUsed/>
    <w:rsid w:val="00A40689"/>
    <w:rPr>
      <w:rFonts w:asciiTheme="minorHAnsi" w:hAnsiTheme="minorHAnsi"/>
      <w:szCs w:val="20"/>
    </w:rPr>
  </w:style>
  <w:style w:type="character" w:customStyle="1" w:styleId="FotnotetekstTegn">
    <w:name w:val="Fotnotetekst Tegn"/>
    <w:basedOn w:val="DefaultParagraphFont"/>
    <w:link w:val="FootnoteText"/>
    <w:uiPriority w:val="99"/>
    <w:semiHidden/>
    <w:rsid w:val="00A40689"/>
    <w:rPr>
      <w:sz w:val="20"/>
      <w:szCs w:val="20"/>
    </w:rPr>
  </w:style>
  <w:style w:type="character" w:styleId="FootnoteReference">
    <w:name w:val="footnote reference"/>
    <w:basedOn w:val="DefaultParagraphFont"/>
    <w:uiPriority w:val="99"/>
    <w:semiHidden/>
    <w:unhideWhenUsed/>
    <w:rsid w:val="00A40689"/>
    <w:rPr>
      <w:vertAlign w:val="superscript"/>
    </w:rPr>
  </w:style>
  <w:style w:type="character" w:customStyle="1" w:styleId="fontstyle01">
    <w:name w:val="fontstyle01"/>
    <w:basedOn w:val="DefaultParagraphFont"/>
    <w:rsid w:val="00A40689"/>
    <w:rPr>
      <w:rFonts w:ascii="Calibri" w:hAnsi="Calibri" w:cs="Calibri" w:hint="default"/>
      <w:b w:val="0"/>
      <w:bCs w:val="0"/>
      <w:i w:val="0"/>
      <w:iCs w:val="0"/>
      <w:color w:val="000000"/>
      <w:sz w:val="22"/>
      <w:szCs w:val="22"/>
    </w:rPr>
  </w:style>
  <w:style w:type="character" w:styleId="EndnoteReference">
    <w:name w:val="endnote reference"/>
    <w:basedOn w:val="DefaultParagraphFont"/>
    <w:uiPriority w:val="99"/>
    <w:semiHidden/>
    <w:unhideWhenUsed/>
    <w:rsid w:val="00D25182"/>
    <w:rPr>
      <w:vertAlign w:val="superscript"/>
    </w:rPr>
  </w:style>
  <w:style w:type="character" w:styleId="FollowedHyperlink">
    <w:name w:val="FollowedHyperlink"/>
    <w:basedOn w:val="DefaultParagraphFont"/>
    <w:uiPriority w:val="99"/>
    <w:semiHidden/>
    <w:unhideWhenUsed/>
    <w:rsid w:val="00D25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lakseregisteret.statsforvalteren.no/visElv.aspx?id=132.1Z"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nina.maps.arcgis.com/apps/instant/basic/index.html?appid=376b94218a0f4d0b967dbc620b89313a" TargetMode="External" /><Relationship Id="rId2" Type="http://schemas.openxmlformats.org/officeDocument/2006/relationships/hyperlink" Target="https://sjolaksefiske.statsforvalteren.no/"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settings.xml.rels><?xml version="1.0" encoding="utf-8" standalone="yes"?><Relationships xmlns="http://schemas.openxmlformats.org/package/2006/relationships"><Relationship Id="rId1" Type="http://schemas.openxmlformats.org/officeDocument/2006/relationships/mailMergeSource" Target="Template.rtf"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1222</Words>
  <Characters>6482</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Aune, Gry Tveten</cp:lastModifiedBy>
  <cp:revision>15</cp:revision>
  <cp:lastPrinted>2018-11-21T14:17:00Z</cp:lastPrinted>
  <dcterms:created xsi:type="dcterms:W3CDTF">2022-06-30T12:01:00Z</dcterms:created>
  <dcterms:modified xsi:type="dcterms:W3CDTF">2023-03-22T06:00:00Z</dcterms:modified>
</cp:coreProperties>
</file>