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F045B2">
        <w:tc>
          <w:tcPr>
            <w:tcW w:w="9212" w:type="dxa"/>
            <w:shd w:val="clear" w:color="auto" w:fill="F9CEC2" w:themeFill="accent1" w:themeFillTint="33"/>
          </w:tcPr>
          <w:p w14:paraId="6A8ACC14" w14:textId="1F485C22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533146">
              <w:rPr>
                <w:rFonts w:ascii="Arial Black" w:hAnsi="Arial Black"/>
                <w:b/>
                <w:sz w:val="28"/>
                <w:szCs w:val="28"/>
              </w:rPr>
              <w:t>2</w:t>
            </w:r>
          </w:p>
          <w:p w14:paraId="69C400B7" w14:textId="77777777"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>langvarig/sammensatt</w:t>
            </w:r>
            <w:r w:rsidR="005C34CB">
              <w:rPr>
                <w:b/>
                <w:sz w:val="28"/>
                <w:szCs w:val="28"/>
              </w:rPr>
              <w:t>e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5C34CB">
              <w:rPr>
                <w:b/>
                <w:sz w:val="28"/>
                <w:szCs w:val="28"/>
              </w:rPr>
              <w:t>tjenester</w:t>
            </w:r>
          </w:p>
          <w:p w14:paraId="1F5C6A70" w14:textId="77777777"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14:paraId="41D2D88C" w14:textId="77777777" w:rsidTr="00D866F0">
        <w:trPr>
          <w:trHeight w:val="517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7B6EC4">
        <w:trPr>
          <w:trHeight w:val="46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D38E21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9A0B39">
        <w:trPr>
          <w:trHeight w:val="547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7B6EC4">
        <w:trPr>
          <w:trHeight w:val="751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7B6EC4">
        <w:trPr>
          <w:trHeight w:val="47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306845">
        <w:trPr>
          <w:trHeight w:val="302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463C80">
        <w:trPr>
          <w:trHeight w:val="563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7B6EC4">
        <w:trPr>
          <w:trHeight w:val="53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1B44C27D" w14:textId="545E1A6D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2022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7B6EC4">
        <w:trPr>
          <w:trHeight w:val="560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0EDE47B2" w14:textId="690D9D1B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33146">
              <w:rPr>
                <w:b/>
              </w:rPr>
              <w:t>2022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7B6EC4">
        <w:trPr>
          <w:trHeight w:val="553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7B6EC4">
        <w:trPr>
          <w:trHeight w:val="420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7B6EC4">
        <w:trPr>
          <w:trHeight w:val="412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466973B0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9A3910D" w14:textId="7C8CD592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Mål og målgruppe for ordningen </w:t>
            </w:r>
          </w:p>
          <w:p w14:paraId="43008FF7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079FD452" w14:textId="41EA3FD8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Tjenestetilbud skal utvikles og iverksettes sammen med brukere/pasienter. </w:t>
            </w:r>
          </w:p>
          <w:p w14:paraId="52A01A6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9A0FC3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Delmål: </w:t>
            </w:r>
          </w:p>
          <w:p w14:paraId="4FF9C80A" w14:textId="00D23084" w:rsidR="00533146" w:rsidRPr="00533146" w:rsidRDefault="00533146" w:rsidP="00533146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at tjenesteutviklingen skjer på barn og unges arena og premisser, med vekt på tidlig innsats, livsmestring og sosial inkludering. </w:t>
            </w:r>
          </w:p>
          <w:p w14:paraId="3C7C0897" w14:textId="7F429D76" w:rsidR="00533146" w:rsidRPr="00533146" w:rsidRDefault="00533146" w:rsidP="00533146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7D626457" w14:textId="27F76397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lastRenderedPageBreak/>
              <w:t xml:space="preserve">Bidra til at flere kommuner og helseforetak etablerer og iverksetter kunnskapsbaserte metoder, modeller og tiltak for målgruppen. </w:t>
            </w:r>
          </w:p>
          <w:p w14:paraId="42B0557E" w14:textId="7F64B83E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01CC8E3B" w14:textId="264D7675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fortsatt utprøving og evaluering av nye metoder/arbeidsformer og modeller på psykisk helse-, rus- og voldsfeltet. </w:t>
            </w:r>
          </w:p>
          <w:p w14:paraId="1F791D8A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C03BCA9" w14:textId="046F0224" w:rsidR="005D1C77" w:rsidRPr="00533146" w:rsidRDefault="00533146" w:rsidP="00533146">
            <w:pPr>
              <w:rPr>
                <w:rFonts w:cstheme="minorHAnsi"/>
                <w:b/>
              </w:rPr>
            </w:pPr>
            <w:r w:rsidRPr="00533146">
              <w:rPr>
                <w:rFonts w:cstheme="minorHAnsi"/>
                <w:color w:val="000000"/>
              </w:rPr>
              <w:t xml:space="preserve">Målgruppen er barn og unge med psykiske problemer og/eller rusmiddelrelaterte problemer som har behov for utredning, behandling og oppfølging, samt de som lever med høy risiko for å utvikle alvorlig funksjonsnedsettelse og deres familier. </w:t>
            </w:r>
          </w:p>
        </w:tc>
      </w:tr>
      <w:tr w:rsidR="00507983" w:rsidRPr="00C25518" w14:paraId="3C8F6D13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6880E0A" w14:textId="58915657" w:rsidR="00507983" w:rsidRDefault="004F10F7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Det gis tilskudd til</w:t>
            </w:r>
            <w:r w:rsidR="003C3F84">
              <w:rPr>
                <w:b/>
                <w:sz w:val="28"/>
                <w:szCs w:val="28"/>
              </w:rPr>
              <w:t xml:space="preserve"> følgende prioriterte tiltak:</w:t>
            </w:r>
          </w:p>
        </w:tc>
      </w:tr>
      <w:tr w:rsidR="003652E4" w:rsidRPr="00C25518" w14:paraId="13AC3646" w14:textId="77777777" w:rsidTr="003652E4">
        <w:trPr>
          <w:trHeight w:val="19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6A98CE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Prioritert tiltak 1 </w:t>
            </w:r>
          </w:p>
          <w:p w14:paraId="21907881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Delfinansiering av etablering og drift av tverrfaglig oppsøkende behandlings- og oppfølgingsteam for barn og unge etter modell av </w:t>
            </w:r>
            <w:proofErr w:type="spellStart"/>
            <w:r w:rsidRPr="00533146">
              <w:rPr>
                <w:rFonts w:cstheme="minorHAnsi"/>
                <w:color w:val="000000"/>
              </w:rPr>
              <w:t>Flexible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Assertive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Community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Treatment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ung (FACT-ung). </w:t>
            </w:r>
          </w:p>
          <w:p w14:paraId="3E6BB1D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bidra til en omstilling og styrking av eksisterende tjenester for barn og ungdom 12-24 år der målet er å utvikle en ny modell for integrert samhandling mellom spesialisthelsetjenesten og kommunale tjenester. Partene må vurdere hvordan egne ressurser og eksisterende tjenester kan benyttes sammen med tilskuddet det søkes om. </w:t>
            </w:r>
          </w:p>
          <w:p w14:paraId="44939D04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benyttes primært til lønnsutgifter, opplæring av teamansatte og forankring, også i andre lokale tjenester og administrasjon. </w:t>
            </w:r>
          </w:p>
          <w:p w14:paraId="6DFB769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Helsedirektoratet vil legge til rette for opplæring og annen </w:t>
            </w:r>
            <w:proofErr w:type="spellStart"/>
            <w:r w:rsidRPr="00533146">
              <w:rPr>
                <w:rFonts w:cstheme="minorHAnsi"/>
                <w:color w:val="000000"/>
              </w:rPr>
              <w:t>implementeringstøtte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for FACT-ung team i samarbeid med Statsforvalteren og kompetansemiljøer. Kostnader knyttet til deltakelse i opplæring/ </w:t>
            </w:r>
            <w:proofErr w:type="spellStart"/>
            <w:r w:rsidRPr="00533146">
              <w:rPr>
                <w:rFonts w:cstheme="minorHAnsi"/>
                <w:color w:val="000000"/>
              </w:rPr>
              <w:t>implementeringstøtte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forutsettes dekket av teamene gjennom egne midler og maksimum kr. 20.000 fra tilskuddsmidler per stilling som innvilges. </w:t>
            </w:r>
          </w:p>
          <w:p w14:paraId="6301A4B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Søkere til FACT-ung team må sette seg grundig inn i FACT-modellen. </w:t>
            </w:r>
          </w:p>
          <w:p w14:paraId="511A133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En fidelity-skala måler i hvilken grad en behandlingsmodell gjennomføres i samsvar med den forskningsbaserte modellen. Det kreves fidelitymåling hvert 1. og hvert 3. år og evt. justering til FACT-ung-modellen. </w:t>
            </w:r>
          </w:p>
          <w:p w14:paraId="273F4E3F" w14:textId="77777777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0603165" w14:textId="3FA7E66A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Sentrale komponenter i FACT-ung: </w:t>
            </w:r>
          </w:p>
          <w:p w14:paraId="3553D8AB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Bruker/erfaringskompetanse skal involveres i organisering, oppstart og drift av FACT-ung. </w:t>
            </w:r>
          </w:p>
          <w:p w14:paraId="6CABDE07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Bygger på barn/ungdommers ønsker, behov og ressurser for egeninnsats </w:t>
            </w:r>
          </w:p>
          <w:p w14:paraId="18719E71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Forpliktende, - integrerte samhandlingsteam mellom kommune og spesialisthelsetjeneste </w:t>
            </w:r>
          </w:p>
          <w:p w14:paraId="59D81E1B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Bygge opp fullverdige team som yter flere tjenester/kompetanseområder </w:t>
            </w:r>
          </w:p>
          <w:p w14:paraId="5307CF78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Oppsøkende arbeid på barna/ungdommers arena </w:t>
            </w:r>
          </w:p>
          <w:p w14:paraId="6DAF0A61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Tilby behandling i tråd med faglige retningslinjer og normer </w:t>
            </w:r>
          </w:p>
          <w:p w14:paraId="6F2E18A2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Støtte opp under sosial inkludering og nettverksbygging </w:t>
            </w:r>
          </w:p>
          <w:p w14:paraId="5673E02F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Legge til grunn langvarig, tilpasset og sammensatt oppfølging </w:t>
            </w:r>
          </w:p>
          <w:p w14:paraId="366C431E" w14:textId="40EE3A2B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Trofasthet til FACT-ung modellen ved fidelity-måling </w:t>
            </w:r>
          </w:p>
          <w:p w14:paraId="0E3A5A8B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</w:rPr>
            </w:pPr>
          </w:p>
          <w:p w14:paraId="6C4059F9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2:</w:t>
            </w:r>
          </w:p>
          <w:p w14:paraId="53A74FAE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Utvikling og etablering av kunnskapsbaserte metoder, modeller og tiltak i lokale lavterskeltilbud f.eks. etter modell av Ung Arena og annen modellutprøving for tilgjengelige og helhetlige lavterskeltilbud. </w:t>
            </w:r>
          </w:p>
          <w:p w14:paraId="54A8AF8F" w14:textId="20CB5154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benyttes primært til lønnsutgifter og Statsforvalter kan etter en skjønnsmessig vurdering dekkeopplæring/kurs og andre nødvendige tiltak. </w:t>
            </w:r>
          </w:p>
          <w:p w14:paraId="32FBC89A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663E99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Sentral komponenter vil være: </w:t>
            </w:r>
          </w:p>
          <w:p w14:paraId="22066F7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Lavterskeltilbud </w:t>
            </w:r>
          </w:p>
          <w:p w14:paraId="6BEE5DD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Tiltaket har ansvar for å gi et helhetlig tilbud fra flere tjenester og er tverrfaglig </w:t>
            </w:r>
          </w:p>
          <w:p w14:paraId="329259B2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Bruker/erfaringskompetanse legges betydelig vekt på i oppstart og drift </w:t>
            </w:r>
          </w:p>
          <w:p w14:paraId="3387C6D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Oppsøkende virksomhet der høy andel av kontaktene skjer på barn/unges arena </w:t>
            </w:r>
          </w:p>
          <w:p w14:paraId="7AE3593A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Stor grad av fleksibilitet og tilgjengelighet ut fra behov i målgruppen </w:t>
            </w:r>
          </w:p>
          <w:p w14:paraId="7EE2F855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lastRenderedPageBreak/>
              <w:t xml:space="preserve">Psykiater/ psykolog bør være innlemmet i tiltaket/teamet eller samarbeidsavtale med Helseforetak </w:t>
            </w:r>
          </w:p>
          <w:p w14:paraId="645DD53B" w14:textId="0DB197A6" w:rsidR="00533146" w:rsidRDefault="00533146" w:rsidP="00533146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Legge til grunn langvarig, tilpasset og sammensatt oppfølging/tjenester </w:t>
            </w:r>
          </w:p>
          <w:p w14:paraId="3478A705" w14:textId="77777777" w:rsidR="004F10F7" w:rsidRPr="00E57752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434F11C6" w14:textId="77777777" w:rsidTr="00945F5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0AACB88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>Tiltakets formål</w:t>
            </w:r>
          </w:p>
        </w:tc>
      </w:tr>
      <w:tr w:rsidR="007A3F8A" w:rsidRPr="00C25518" w14:paraId="4B261EFF" w14:textId="77777777" w:rsidTr="007A3F8A">
        <w:trPr>
          <w:trHeight w:val="50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4B69ABF3" w14:textId="22D0A441" w:rsidR="004B05CB" w:rsidRPr="00B131DF" w:rsidRDefault="004B05CB" w:rsidP="004B05CB">
            <w:pPr>
              <w:rPr>
                <w:b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  <w:p w14:paraId="1BC0B680" w14:textId="77777777"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14:paraId="180B58E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2D1BAB7" w14:textId="77777777" w:rsidTr="00E958B5">
        <w:trPr>
          <w:trHeight w:val="80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065E3F6F" w14:textId="77777777" w:rsidR="001B004B" w:rsidRPr="00B131DF" w:rsidRDefault="001B004B" w:rsidP="001B004B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68B42A90" w14:textId="77777777" w:rsidR="009B2B65" w:rsidRPr="00FB4939" w:rsidRDefault="001B004B" w:rsidP="001B004B">
            <w:pPr>
              <w:rPr>
                <w:rFonts w:cs="Arial"/>
                <w:sz w:val="18"/>
                <w:szCs w:val="18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 revisor, andre offentlige tilsyn, evaluering og systematisk kvalitetssikret dokumentasjon.</w:t>
            </w:r>
            <w:r>
              <w:rPr>
                <w:rFonts w:cs="Arial"/>
              </w:rPr>
              <w:t xml:space="preserve"> For FACT-</w:t>
            </w:r>
            <w:r w:rsidR="00680A50">
              <w:rPr>
                <w:rFonts w:cs="Arial"/>
              </w:rPr>
              <w:t xml:space="preserve"> ung </w:t>
            </w:r>
            <w:r>
              <w:rPr>
                <w:rFonts w:cs="Arial"/>
              </w:rPr>
              <w:t>team må det beskrives om tiltaket skal Fidelity måles. Se regelverk.</w:t>
            </w:r>
          </w:p>
        </w:tc>
      </w:tr>
      <w:tr w:rsidR="007A3F8A" w:rsidRPr="00C25518" w14:paraId="2865F915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22F4E79B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3F5D3B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B1150F3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7E4995B2" w14:textId="77777777" w:rsidTr="00275299">
        <w:trPr>
          <w:trHeight w:val="197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422BC05" w14:textId="355B1C86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5393EA13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tilskudd på inntil 600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kroner til forprosjekt. Tilskuddsperioden vil da bli maksimalt fem år. </w:t>
            </w:r>
          </w:p>
          <w:p w14:paraId="6C87C812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i inntil fire år til nye tiltak/prosjekter, med gradvis nedtrapping og økt grad av egenfinansiering. </w:t>
            </w:r>
          </w:p>
          <w:p w14:paraId="30134D55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et tilskudd på inntil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>000</w:t>
            </w:r>
            <w:r>
              <w:rPr>
                <w:rFonts w:ascii="MuseoSans300" w:hAnsi="MuseoSans300" w:cs="Arial"/>
                <w:color w:val="303030"/>
              </w:rPr>
              <w:t xml:space="preserve"> kroner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per 100 % stillingsressurs de to første årene</w:t>
            </w:r>
            <w:r>
              <w:rPr>
                <w:rFonts w:ascii="MuseoSans300" w:hAnsi="MuseoSans300" w:cs="Arial"/>
                <w:color w:val="303030"/>
              </w:rPr>
              <w:t>,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deretter </w:t>
            </w:r>
            <w:r>
              <w:rPr>
                <w:rFonts w:ascii="MuseoSans300" w:hAnsi="MuseoSans300" w:cs="Arial"/>
                <w:color w:val="303030"/>
              </w:rPr>
              <w:t xml:space="preserve">en </w:t>
            </w:r>
            <w:r w:rsidRPr="006665C9">
              <w:rPr>
                <w:rFonts w:ascii="MuseoSans300" w:hAnsi="MuseoSans300" w:cs="Arial"/>
                <w:color w:val="303030"/>
              </w:rPr>
              <w:t xml:space="preserve">gradvis nedtrapping. </w:t>
            </w:r>
          </w:p>
          <w:p w14:paraId="6F8A73D8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til inntil 10 x 100 % stillinger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6665C9">
              <w:rPr>
                <w:rFonts w:ascii="MuseoSans300" w:hAnsi="MuseoSans300" w:cs="Arial"/>
                <w:color w:val="303030"/>
              </w:rPr>
              <w:t xml:space="preserve">, maksimalt </w:t>
            </w:r>
            <w:r>
              <w:rPr>
                <w:rFonts w:ascii="MuseoSans300" w:hAnsi="MuseoSans300" w:cs="Arial"/>
                <w:color w:val="303030"/>
              </w:rPr>
              <w:t>5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mill. kroner i tilskudd per team. </w:t>
            </w:r>
          </w:p>
          <w:p w14:paraId="2D8B07A0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For andre tilskuddsmottakere gis det maksi</w:t>
            </w:r>
            <w:r>
              <w:rPr>
                <w:rFonts w:ascii="MuseoSans300" w:hAnsi="MuseoSans300" w:cs="Arial"/>
                <w:color w:val="303030"/>
              </w:rPr>
              <w:t>malt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tilskudd til inntil 5 x 100 % stillingsressurser de to første årene</w:t>
            </w:r>
            <w:r>
              <w:rPr>
                <w:rFonts w:ascii="MuseoSans300" w:hAnsi="MuseoSans300" w:cs="Arial"/>
                <w:color w:val="303030"/>
              </w:rPr>
              <w:t>, maksimalt 2.5 mill. kroner.</w:t>
            </w:r>
          </w:p>
          <w:p w14:paraId="49B05D2A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Som et ledd i implementering i ordinær drift, reduseres midlene som beskrevet under: </w:t>
            </w:r>
          </w:p>
          <w:p w14:paraId="0DF2FE82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1: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3E1A8A6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2: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B3D898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3: Kr 300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22D3067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4: Kr 200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4ACFDEC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Statsforvalter beregne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på stigen den enkelte tilskuddsmottaker skal plasseres </w:t>
            </w:r>
            <w:r>
              <w:rPr>
                <w:rFonts w:ascii="MuseoSans300" w:hAnsi="MuseoSans300" w:cs="Arial"/>
                <w:color w:val="303030"/>
              </w:rPr>
              <w:t>basert på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selv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6665C9">
              <w:rPr>
                <w:rFonts w:ascii="MuseoSans300" w:hAnsi="MuseoSans300" w:cs="Arial"/>
                <w:color w:val="303030"/>
              </w:rPr>
              <w:t>finansieres når tilskuddsperioden er over.</w:t>
            </w:r>
          </w:p>
          <w:p w14:paraId="0D151EC1" w14:textId="77777777" w:rsidR="00D42F6F" w:rsidRDefault="00D42F6F" w:rsidP="003C3F84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14:paraId="00FADA01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800C7B8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  <w:r w:rsidR="00725F5C">
              <w:rPr>
                <w:b/>
              </w:rPr>
              <w:t xml:space="preserve"> og finansiering</w:t>
            </w:r>
          </w:p>
        </w:tc>
      </w:tr>
      <w:tr w:rsidR="00725F5C" w:rsidRPr="00C07E23" w14:paraId="74D56A33" w14:textId="77777777" w:rsidTr="006D4CAD">
        <w:trPr>
          <w:trHeight w:val="481"/>
        </w:trPr>
        <w:tc>
          <w:tcPr>
            <w:tcW w:w="10844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6D4CAD">
        <w:trPr>
          <w:trHeight w:val="1202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25F5C" w:rsidRPr="00016983" w14:paraId="265F9ADD" w14:textId="77777777" w:rsidTr="006D4CAD">
        <w:trPr>
          <w:trHeight w:val="567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7FFD3B25" w14:textId="77777777" w:rsidR="00725F5C" w:rsidRPr="00E57752" w:rsidRDefault="00725F5C" w:rsidP="006D4CAD">
            <w:r w:rsidRPr="00E57752">
              <w:t>Hvor stor andel av tilskuddsmidlene per stilling planlegges brukt til kompetanseheving/opplæring/annen implementeringstøtte</w:t>
            </w:r>
            <w:r>
              <w:t>?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30D2E9C9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735C356B" w14:textId="77777777" w:rsidTr="0023228C">
        <w:trPr>
          <w:trHeight w:val="25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23228C">
        <w:trPr>
          <w:trHeight w:val="256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tilskuddsår?</w:t>
            </w:r>
          </w:p>
          <w:p w14:paraId="710BFF9A" w14:textId="77777777" w:rsidR="007A3F8A" w:rsidRPr="00231DEF" w:rsidRDefault="007A3F8A" w:rsidP="007A3F8A">
            <w:r w:rsidRPr="00231DEF">
              <w:lastRenderedPageBreak/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14:paraId="5C950A9E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F9CEC2" w:themeFill="accent1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9233AB3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C77350">
        <w:trPr>
          <w:trHeight w:val="40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55B3D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C77350">
        <w:trPr>
          <w:trHeight w:val="42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9B585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90FF8">
        <w:trPr>
          <w:trHeight w:val="28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189BDF20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AD1AB0D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53F12716" w14:textId="77777777" w:rsidTr="007E269D">
        <w:trPr>
          <w:trHeight w:val="492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2ECB9A74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7777777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>/midler fra andre</w:t>
            </w:r>
            <w:r w:rsidRPr="00623B60">
              <w:rPr>
                <w:b/>
              </w:rPr>
              <w:t xml:space="preserve"> fra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4B4A69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B46A6C">
        <w:trPr>
          <w:trHeight w:val="505"/>
        </w:trPr>
        <w:tc>
          <w:tcPr>
            <w:tcW w:w="10844" w:type="dxa"/>
            <w:gridSpan w:val="8"/>
            <w:shd w:val="clear" w:color="auto" w:fill="F9CEC2" w:themeFill="accent1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89F18B9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3F84">
              <w:rPr>
                <w:rFonts w:cstheme="minorHAnsi"/>
                <w:b/>
                <w:sz w:val="20"/>
                <w:szCs w:val="20"/>
              </w:rPr>
              <w:t>-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FACT-ung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3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6833A1">
        <w:trPr>
          <w:trHeight w:val="394"/>
        </w:trPr>
        <w:tc>
          <w:tcPr>
            <w:tcW w:w="3614" w:type="dxa"/>
            <w:gridSpan w:val="3"/>
            <w:shd w:val="clear" w:color="auto" w:fill="F9CEC2" w:themeFill="accent1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340BB6FE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en innen </w:t>
      </w:r>
      <w:r w:rsidR="00533146">
        <w:rPr>
          <w:b/>
          <w:i/>
          <w:sz w:val="24"/>
          <w:szCs w:val="24"/>
        </w:rPr>
        <w:t>3</w:t>
      </w:r>
      <w:r w:rsidR="001475D8">
        <w:rPr>
          <w:b/>
          <w:i/>
          <w:sz w:val="24"/>
          <w:szCs w:val="24"/>
        </w:rPr>
        <w:t>1</w:t>
      </w:r>
      <w:r w:rsidR="00533146">
        <w:rPr>
          <w:b/>
          <w:i/>
          <w:sz w:val="24"/>
          <w:szCs w:val="24"/>
        </w:rPr>
        <w:t>.mars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533146">
        <w:rPr>
          <w:b/>
          <w:i/>
          <w:sz w:val="24"/>
          <w:szCs w:val="24"/>
        </w:rPr>
        <w:t>2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2ACD" w14:textId="77777777" w:rsidR="008D4E87" w:rsidRDefault="008D4E87" w:rsidP="00580517">
      <w:pPr>
        <w:spacing w:after="0" w:line="240" w:lineRule="auto"/>
      </w:pPr>
      <w:r>
        <w:separator/>
      </w:r>
    </w:p>
  </w:endnote>
  <w:endnote w:type="continuationSeparator" w:id="0">
    <w:p w14:paraId="03052479" w14:textId="77777777" w:rsidR="008D4E87" w:rsidRDefault="008D4E87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73EF" w14:textId="77777777" w:rsidR="008D4E87" w:rsidRDefault="008D4E87" w:rsidP="00580517">
      <w:pPr>
        <w:spacing w:after="0" w:line="240" w:lineRule="auto"/>
      </w:pPr>
      <w:r>
        <w:separator/>
      </w:r>
    </w:p>
  </w:footnote>
  <w:footnote w:type="continuationSeparator" w:id="0">
    <w:p w14:paraId="2725FE40" w14:textId="77777777" w:rsidR="008D4E87" w:rsidRDefault="008D4E87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3146"/>
    <w:rsid w:val="005372DC"/>
    <w:rsid w:val="0054183A"/>
    <w:rsid w:val="00561595"/>
    <w:rsid w:val="0056345D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C7AC1"/>
    <w:rsid w:val="006D18BC"/>
    <w:rsid w:val="006D1E41"/>
    <w:rsid w:val="006E5793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5F5C"/>
    <w:rsid w:val="007265ED"/>
    <w:rsid w:val="0073585B"/>
    <w:rsid w:val="00736EE1"/>
    <w:rsid w:val="00743E91"/>
    <w:rsid w:val="00750CBB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13A4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5C7F"/>
    <w:rsid w:val="00C373D1"/>
    <w:rsid w:val="00C47D8A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C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CD0F6D"/>
    <w:rsid w:val="00D22A27"/>
    <w:rsid w:val="00D84292"/>
    <w:rsid w:val="00E059EF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059EF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1650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Knudtzon, Margrethe</cp:lastModifiedBy>
  <cp:revision>2</cp:revision>
  <cp:lastPrinted>2018-02-05T09:26:00Z</cp:lastPrinted>
  <dcterms:created xsi:type="dcterms:W3CDTF">2022-02-08T07:15:00Z</dcterms:created>
  <dcterms:modified xsi:type="dcterms:W3CDTF">2022-02-08T07:15:00Z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