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D37D" w14:textId="10B71D81"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 xml:space="preserve">Vedlegg1: </w:t>
      </w:r>
      <w:r w:rsidRPr="00856192">
        <w:rPr>
          <w:rFonts w:asciiTheme="minorHAnsi" w:hAnsiTheme="minorHAnsi" w:cstheme="minorHAnsi"/>
          <w:b/>
          <w:bCs/>
          <w:sz w:val="22"/>
          <w:szCs w:val="22"/>
        </w:rPr>
        <w:t xml:space="preserve">Regelverk for tilskuddet – Lindrende behandling og omsorg ved livets slutt – 2024 </w:t>
      </w:r>
    </w:p>
    <w:p w14:paraId="53E93F65" w14:textId="77777777" w:rsidR="00856192" w:rsidRPr="00856192" w:rsidRDefault="00856192" w:rsidP="00856192">
      <w:pPr>
        <w:rPr>
          <w:rFonts w:asciiTheme="minorHAnsi" w:hAnsiTheme="minorHAnsi" w:cstheme="minorHAnsi"/>
          <w:b/>
          <w:bCs/>
          <w:sz w:val="22"/>
          <w:szCs w:val="22"/>
        </w:rPr>
      </w:pPr>
    </w:p>
    <w:p w14:paraId="375F9472" w14:textId="5BF385E0" w:rsidR="00856192" w:rsidRPr="00856192" w:rsidRDefault="00856192" w:rsidP="00856192">
      <w:pPr>
        <w:rPr>
          <w:rFonts w:asciiTheme="minorHAnsi" w:hAnsiTheme="minorHAnsi" w:cstheme="minorHAnsi"/>
          <w:b/>
          <w:bCs/>
          <w:sz w:val="22"/>
          <w:szCs w:val="22"/>
        </w:rPr>
      </w:pPr>
      <w:r w:rsidRPr="00856192">
        <w:rPr>
          <w:rFonts w:asciiTheme="minorHAnsi" w:hAnsiTheme="minorHAnsi" w:cstheme="minorHAnsi"/>
          <w:b/>
          <w:bCs/>
          <w:sz w:val="22"/>
          <w:szCs w:val="22"/>
        </w:rPr>
        <w:t>Mål og føringer</w:t>
      </w:r>
    </w:p>
    <w:p w14:paraId="68CEB653" w14:textId="77777777" w:rsidR="00856192" w:rsidRPr="00856192" w:rsidRDefault="00856192" w:rsidP="00856192">
      <w:pPr>
        <w:shd w:val="clear" w:color="auto" w:fill="FCFFFC"/>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Formålet med tilskuddsordningen er å styrke kvaliteten i tilbudet til personer med behov for lindrende behandling og omsorg og deres pårørende, og bidra til kompetanseoppbygging i kommunene.</w:t>
      </w:r>
    </w:p>
    <w:p w14:paraId="5D3570FB" w14:textId="77777777" w:rsidR="00856192" w:rsidRPr="00856192" w:rsidRDefault="00856192" w:rsidP="00856192">
      <w:pPr>
        <w:shd w:val="clear" w:color="auto" w:fill="FCFFFC"/>
        <w:spacing w:before="240"/>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Målgruppen er ledere og ansatte i den kommunale helse- og omsorgstjenesten. Endelig målgruppe er pasienter med behov for lindrende behandling og omsorg, uavhengig av diagnose, og deres pårørende.</w:t>
      </w:r>
    </w:p>
    <w:p w14:paraId="663C3D6D" w14:textId="77777777" w:rsidR="00856192" w:rsidRPr="00856192" w:rsidRDefault="00856192" w:rsidP="00856192">
      <w:pPr>
        <w:shd w:val="clear" w:color="auto" w:fill="FCFFFC"/>
        <w:spacing w:before="240"/>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Sentrale nasjonale føringer:</w:t>
      </w:r>
    </w:p>
    <w:p w14:paraId="300D5C2F" w14:textId="77777777" w:rsidR="00856192" w:rsidRPr="00856192" w:rsidRDefault="00856192" w:rsidP="00856192">
      <w:pPr>
        <w:numPr>
          <w:ilvl w:val="0"/>
          <w:numId w:val="4"/>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Nasjonale faglige råd om lindrende behandling i livets sluttfase</w:t>
      </w:r>
    </w:p>
    <w:p w14:paraId="0B964BE6" w14:textId="7CE88D3C" w:rsidR="00856192" w:rsidRPr="00856192" w:rsidRDefault="00856192" w:rsidP="00856192">
      <w:pPr>
        <w:numPr>
          <w:ilvl w:val="0"/>
          <w:numId w:val="4"/>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Palliasjon i kreftomsorgen - nasjonalt handlingsprogram med retningslinje</w:t>
      </w:r>
    </w:p>
    <w:p w14:paraId="1FEA5B59" w14:textId="77777777" w:rsidR="00856192" w:rsidRPr="00856192" w:rsidRDefault="00856192" w:rsidP="00856192">
      <w:pPr>
        <w:numPr>
          <w:ilvl w:val="0"/>
          <w:numId w:val="4"/>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Nasjonal veileder om pårørende i helse- og omsorgstjenesten</w:t>
      </w:r>
    </w:p>
    <w:p w14:paraId="7CBF1FEC" w14:textId="77777777" w:rsidR="00856192" w:rsidRPr="00856192" w:rsidRDefault="00856192" w:rsidP="00856192">
      <w:pPr>
        <w:numPr>
          <w:ilvl w:val="0"/>
          <w:numId w:val="4"/>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Meld. St. 24 (2019-2020) Lindrende behandling og omsorg</w:t>
      </w:r>
    </w:p>
    <w:p w14:paraId="4B38A296" w14:textId="77777777" w:rsidR="00856192" w:rsidRPr="00856192" w:rsidRDefault="00856192" w:rsidP="00856192">
      <w:pPr>
        <w:numPr>
          <w:ilvl w:val="0"/>
          <w:numId w:val="4"/>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Meld. St. 15 (2017-2018) Kvalitetsreformen for eldre Leve hele livet</w:t>
      </w:r>
    </w:p>
    <w:p w14:paraId="56C22617" w14:textId="77777777" w:rsidR="00856192" w:rsidRPr="00856192" w:rsidRDefault="00856192" w:rsidP="00856192">
      <w:pPr>
        <w:numPr>
          <w:ilvl w:val="0"/>
          <w:numId w:val="4"/>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Demensplan 2025 – Regjeringens plan for å forbedre tjenestetilbudet til personer med demens og deres pårørende</w:t>
      </w:r>
    </w:p>
    <w:p w14:paraId="713C12C6" w14:textId="77777777" w:rsidR="00856192" w:rsidRPr="00856192" w:rsidRDefault="00856192" w:rsidP="00856192">
      <w:pPr>
        <w:numPr>
          <w:ilvl w:val="0"/>
          <w:numId w:val="4"/>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Kompetanseløft 2025 – Regjeringens plan for rekruttering, kompetanse og fagutvikling i den kommunale helse- og omsorgstjenesten og den fylkeskommunale tannhelsetjenesten</w:t>
      </w:r>
    </w:p>
    <w:p w14:paraId="28A92EA4"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Statsforvalteren minner på at</w:t>
      </w:r>
      <w:r w:rsidRPr="00856192">
        <w:rPr>
          <w:rFonts w:asciiTheme="minorHAnsi" w:hAnsiTheme="minorHAnsi" w:cstheme="minorHAnsi"/>
          <w:strike/>
          <w:sz w:val="22"/>
          <w:szCs w:val="22"/>
        </w:rPr>
        <w:t xml:space="preserve"> </w:t>
      </w:r>
      <w:r w:rsidRPr="00856192">
        <w:rPr>
          <w:rFonts w:asciiTheme="minorHAnsi" w:hAnsiTheme="minorHAnsi" w:cstheme="minorHAnsi"/>
          <w:sz w:val="22"/>
          <w:szCs w:val="22"/>
        </w:rPr>
        <w:t>tilskuddet må brukes i samsvar med regelverket for tilskuddsordningen.</w:t>
      </w:r>
    </w:p>
    <w:p w14:paraId="7D6F1507" w14:textId="74E64510"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Vi viser til Helsedirektoratets nettsider hvor hele regelverk for tilskuddsordningen er beskrevet:</w:t>
      </w:r>
    </w:p>
    <w:p w14:paraId="2986AA60" w14:textId="77777777" w:rsidR="00856192" w:rsidRPr="00856192" w:rsidRDefault="00A63709" w:rsidP="00856192">
      <w:pPr>
        <w:rPr>
          <w:rFonts w:asciiTheme="minorHAnsi" w:hAnsiTheme="minorHAnsi" w:cstheme="minorHAnsi"/>
          <w:sz w:val="22"/>
          <w:szCs w:val="22"/>
        </w:rPr>
      </w:pPr>
      <w:hyperlink r:id="rId5" w:anchor="regelverk-tildelingskriterier" w:history="1">
        <w:r w:rsidR="00856192" w:rsidRPr="00856192">
          <w:rPr>
            <w:rStyle w:val="Hyperkobling"/>
            <w:rFonts w:asciiTheme="minorHAnsi" w:hAnsiTheme="minorHAnsi" w:cstheme="minorHAnsi"/>
            <w:sz w:val="22"/>
            <w:szCs w:val="22"/>
          </w:rPr>
          <w:t>Kompetansehevende tiltak for lindrende behandling og omsorg ved livets slutt - Helsedirektoratet</w:t>
        </w:r>
      </w:hyperlink>
    </w:p>
    <w:p w14:paraId="58FF1D80" w14:textId="77777777" w:rsidR="00856192" w:rsidRPr="00856192" w:rsidRDefault="00856192" w:rsidP="00856192">
      <w:pPr>
        <w:rPr>
          <w:rFonts w:asciiTheme="minorHAnsi" w:hAnsiTheme="minorHAnsi" w:cstheme="minorHAnsi"/>
          <w:sz w:val="22"/>
          <w:szCs w:val="22"/>
        </w:rPr>
      </w:pPr>
    </w:p>
    <w:p w14:paraId="4E1B92FD"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b/>
          <w:bCs/>
          <w:sz w:val="22"/>
          <w:szCs w:val="22"/>
        </w:rPr>
        <w:t>Det gis tilskudd til:</w:t>
      </w:r>
      <w:r w:rsidRPr="00856192">
        <w:rPr>
          <w:rFonts w:asciiTheme="minorHAnsi" w:hAnsiTheme="minorHAnsi" w:cstheme="minorHAnsi"/>
          <w:sz w:val="22"/>
          <w:szCs w:val="22"/>
        </w:rPr>
        <w:t xml:space="preserve"> </w:t>
      </w:r>
    </w:p>
    <w:p w14:paraId="12E2C56F" w14:textId="13E61EC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 xml:space="preserve">Det gis tilskudd til kvalitetsutviklingsarbeid, inkludert kompetanseheving i den kommunale helse- og omsorgstjenesten, som for eksempel implementering av nye organisasjonsformer og verktøy. Det kan også gis tilskudd til samlet kompetanseheving i en region. Det gis ikke tilskudd til drift av helse- og omsorgstjenester eller til formell videreutdanning og studier. </w:t>
      </w:r>
    </w:p>
    <w:p w14:paraId="20BCFEC7" w14:textId="77777777" w:rsidR="00856192" w:rsidRPr="00856192" w:rsidRDefault="00856192" w:rsidP="00856192">
      <w:pPr>
        <w:rPr>
          <w:rFonts w:asciiTheme="minorHAnsi" w:hAnsiTheme="minorHAnsi" w:cstheme="minorHAnsi"/>
          <w:sz w:val="22"/>
          <w:szCs w:val="22"/>
        </w:rPr>
      </w:pPr>
    </w:p>
    <w:p w14:paraId="0D86EEC3"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u w:val="single"/>
        </w:rPr>
        <w:t>Tillegg og presiseringer</w:t>
      </w:r>
      <w:r w:rsidRPr="00856192">
        <w:rPr>
          <w:rFonts w:asciiTheme="minorHAnsi" w:hAnsiTheme="minorHAnsi" w:cstheme="minorHAnsi"/>
          <w:sz w:val="22"/>
          <w:szCs w:val="22"/>
        </w:rPr>
        <w:t xml:space="preserve">: </w:t>
      </w:r>
    </w:p>
    <w:p w14:paraId="0C8279D9" w14:textId="59B1EF74"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Statsforvalter og den regionale kompetansetjenesten for lindrende behandling kan be tilskuddsmottaker dele erfaringer og resultater fra prosjektet på erfaringssamlinger, fagdager og liknende.</w:t>
      </w:r>
    </w:p>
    <w:p w14:paraId="0489267E" w14:textId="77777777" w:rsidR="00856192" w:rsidRPr="00856192" w:rsidRDefault="00856192" w:rsidP="00856192">
      <w:pPr>
        <w:rPr>
          <w:rFonts w:asciiTheme="minorHAnsi" w:hAnsiTheme="minorHAnsi" w:cstheme="minorHAnsi"/>
          <w:sz w:val="22"/>
          <w:szCs w:val="22"/>
        </w:rPr>
      </w:pPr>
    </w:p>
    <w:p w14:paraId="1C966D24"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Tilskuddet skal ikke dekke utgifter til innkjøp av utstyr eller investeringer, og kan heller ikke omdisponeres eller brukes til andre formål enn det som er beskrevet i brevet. Dersom midlene ikke benyttes etter forutsetningene, skal de tilbakebetales til Statsforvalteren. Eventuelt feil bruk og mislighold av tilskuddet vil kunne medføre inndragning av midler, samt rettslige forhøyninger.</w:t>
      </w:r>
    </w:p>
    <w:p w14:paraId="51E5CEDA" w14:textId="77777777" w:rsidR="00856192" w:rsidRPr="00856192" w:rsidRDefault="00856192" w:rsidP="00856192">
      <w:pPr>
        <w:rPr>
          <w:rFonts w:asciiTheme="minorHAnsi" w:hAnsiTheme="minorHAnsi" w:cstheme="minorHAnsi"/>
          <w:sz w:val="22"/>
          <w:szCs w:val="22"/>
        </w:rPr>
      </w:pPr>
    </w:p>
    <w:p w14:paraId="63C0869D" w14:textId="1A3C14E7" w:rsidR="00856192" w:rsidRPr="00856192" w:rsidRDefault="00856192" w:rsidP="00856192">
      <w:pPr>
        <w:rPr>
          <w:rFonts w:asciiTheme="minorHAnsi" w:hAnsiTheme="minorHAnsi" w:cstheme="minorHAnsi"/>
          <w:b/>
          <w:bCs/>
          <w:strike/>
          <w:sz w:val="22"/>
          <w:szCs w:val="22"/>
        </w:rPr>
      </w:pPr>
      <w:r w:rsidRPr="00856192">
        <w:rPr>
          <w:rFonts w:asciiTheme="minorHAnsi" w:hAnsiTheme="minorHAnsi" w:cstheme="minorHAnsi"/>
          <w:b/>
          <w:bCs/>
          <w:sz w:val="22"/>
          <w:szCs w:val="22"/>
        </w:rPr>
        <w:t xml:space="preserve">Utbetaling </w:t>
      </w:r>
    </w:p>
    <w:p w14:paraId="6BF922A7" w14:textId="77777777" w:rsidR="00856192" w:rsidRPr="00856192" w:rsidRDefault="00856192" w:rsidP="00856192">
      <w:pPr>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Tilskuddsmottakerne skal ikke sende inn et akseptskjema for tilskuddet. Tilskuddet</w:t>
      </w:r>
    </w:p>
    <w:p w14:paraId="4FB356E7" w14:textId="77777777" w:rsidR="00856192" w:rsidRPr="00856192" w:rsidRDefault="00856192" w:rsidP="00856192">
      <w:pPr>
        <w:rPr>
          <w:rFonts w:asciiTheme="minorHAnsi" w:hAnsiTheme="minorHAnsi" w:cstheme="minorHAnsi"/>
          <w:b/>
          <w:bCs/>
          <w:strike/>
          <w:sz w:val="22"/>
          <w:szCs w:val="22"/>
        </w:rPr>
      </w:pPr>
      <w:r w:rsidRPr="00856192">
        <w:rPr>
          <w:rFonts w:asciiTheme="minorHAnsi" w:eastAsia="Times New Roman" w:hAnsiTheme="minorHAnsi" w:cstheme="minorHAnsi"/>
          <w:sz w:val="22"/>
          <w:szCs w:val="22"/>
          <w:lang w:eastAsia="nb-NO"/>
        </w:rPr>
        <w:t>utbetales etter at tildelingsbrev er sendt ut.</w:t>
      </w:r>
    </w:p>
    <w:p w14:paraId="2E19CE09" w14:textId="620B4C4F"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br/>
        <w:t xml:space="preserve">Eventuelt for mye utbetalt tilskudd, eller tilskudd som ikke skal benyttes skal returneres til Statsforvalteren. </w:t>
      </w:r>
      <w:r w:rsidRPr="00856192">
        <w:rPr>
          <w:rFonts w:asciiTheme="minorHAnsi" w:hAnsiTheme="minorHAnsi" w:cstheme="minorHAnsi"/>
          <w:sz w:val="22"/>
          <w:szCs w:val="22"/>
          <w:shd w:val="clear" w:color="auto" w:fill="FCFFFC"/>
        </w:rPr>
        <w:t>Statsforvalteren vil utstede en faktura på beløpet som skal tilbakebetales etter at rapporteringen er behandlet.</w:t>
      </w:r>
    </w:p>
    <w:p w14:paraId="2F01FB40" w14:textId="77777777" w:rsidR="00856192" w:rsidRPr="00856192" w:rsidRDefault="00856192" w:rsidP="00856192">
      <w:pPr>
        <w:rPr>
          <w:rFonts w:asciiTheme="minorHAnsi" w:hAnsiTheme="minorHAnsi" w:cstheme="minorHAnsi"/>
          <w:color w:val="FF0000"/>
          <w:sz w:val="22"/>
          <w:szCs w:val="22"/>
        </w:rPr>
      </w:pPr>
      <w:r w:rsidRPr="00856192">
        <w:rPr>
          <w:rFonts w:asciiTheme="minorHAnsi" w:hAnsiTheme="minorHAnsi" w:cstheme="minorHAnsi"/>
          <w:color w:val="FF0000"/>
          <w:sz w:val="22"/>
          <w:szCs w:val="22"/>
        </w:rPr>
        <w:t xml:space="preserve"> </w:t>
      </w:r>
    </w:p>
    <w:p w14:paraId="7A1080C4"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b/>
          <w:bCs/>
          <w:sz w:val="22"/>
          <w:szCs w:val="22"/>
        </w:rPr>
        <w:lastRenderedPageBreak/>
        <w:t>Gi beskjed om endringer</w:t>
      </w:r>
      <w:r w:rsidRPr="00856192">
        <w:rPr>
          <w:rFonts w:asciiTheme="minorHAnsi" w:hAnsiTheme="minorHAnsi" w:cstheme="minorHAnsi"/>
          <w:b/>
          <w:bCs/>
          <w:sz w:val="22"/>
          <w:szCs w:val="22"/>
        </w:rPr>
        <w:br/>
      </w:r>
      <w:r w:rsidRPr="00856192">
        <w:rPr>
          <w:rFonts w:asciiTheme="minorHAnsi" w:hAnsiTheme="minorHAnsi" w:cstheme="minorHAnsi"/>
          <w:sz w:val="22"/>
          <w:szCs w:val="22"/>
        </w:rPr>
        <w:t>Statsforvalteren må ha skriftlig beskjed snarest mulig om endringer i mottakers adresse,</w:t>
      </w:r>
      <w:r w:rsidRPr="00856192">
        <w:rPr>
          <w:rFonts w:asciiTheme="minorHAnsi" w:hAnsiTheme="minorHAnsi" w:cstheme="minorHAnsi"/>
          <w:sz w:val="22"/>
          <w:szCs w:val="22"/>
        </w:rPr>
        <w:br/>
        <w:t>kontonummer og kontaktperson.</w:t>
      </w:r>
    </w:p>
    <w:p w14:paraId="6628DA15"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br/>
      </w:r>
      <w:r w:rsidRPr="00856192">
        <w:rPr>
          <w:rFonts w:asciiTheme="minorHAnsi" w:hAnsiTheme="minorHAnsi" w:cstheme="minorHAnsi"/>
          <w:b/>
          <w:bCs/>
          <w:sz w:val="22"/>
          <w:szCs w:val="22"/>
        </w:rPr>
        <w:t>Ubrukt tilskudd</w:t>
      </w:r>
      <w:r w:rsidRPr="00856192">
        <w:rPr>
          <w:rFonts w:asciiTheme="minorHAnsi" w:hAnsiTheme="minorHAnsi" w:cstheme="minorHAnsi"/>
          <w:b/>
          <w:bCs/>
          <w:sz w:val="22"/>
          <w:szCs w:val="22"/>
        </w:rPr>
        <w:br/>
      </w:r>
      <w:r w:rsidRPr="00856192">
        <w:rPr>
          <w:rFonts w:asciiTheme="minorHAnsi" w:hAnsiTheme="minorHAnsi" w:cstheme="minorHAnsi"/>
          <w:sz w:val="22"/>
          <w:szCs w:val="22"/>
        </w:rPr>
        <w:t>Tilskuddet skal brukes dette budsjett- og kalenderår. Dersom midlene ikke brukes fullt ut, finnes det følgende alternativer:</w:t>
      </w:r>
    </w:p>
    <w:p w14:paraId="484353A3"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br/>
        <w:t>1</w:t>
      </w:r>
      <w:r w:rsidRPr="00856192">
        <w:rPr>
          <w:rFonts w:asciiTheme="minorHAnsi" w:hAnsiTheme="minorHAnsi" w:cstheme="minorHAnsi"/>
          <w:i/>
          <w:iCs/>
          <w:sz w:val="22"/>
          <w:szCs w:val="22"/>
        </w:rPr>
        <w:t>. Hvis dere skal søke om nytt tilskudd neste år for å videreføre arbeidet:</w:t>
      </w:r>
      <w:r w:rsidRPr="00856192">
        <w:rPr>
          <w:rFonts w:asciiTheme="minorHAnsi" w:hAnsiTheme="minorHAnsi" w:cstheme="minorHAnsi"/>
          <w:i/>
          <w:iCs/>
          <w:sz w:val="22"/>
          <w:szCs w:val="22"/>
        </w:rPr>
        <w:br/>
      </w:r>
      <w:r w:rsidRPr="00856192">
        <w:rPr>
          <w:rFonts w:asciiTheme="minorHAnsi" w:hAnsiTheme="minorHAnsi" w:cstheme="minorHAnsi"/>
          <w:sz w:val="22"/>
          <w:szCs w:val="22"/>
        </w:rPr>
        <w:t>Tilskudd som dere ikke bruker inneværende tilskudds år, kan overføres og inkluderes i neste års tildeling. Dette krever en fullstendig søknad. Søknadsbeløpet må da inkludere både ubrukt tilskudd for 2024, og nytt tilskudd.</w:t>
      </w:r>
    </w:p>
    <w:p w14:paraId="59EC5F4B"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br/>
        <w:t xml:space="preserve">2. </w:t>
      </w:r>
      <w:r w:rsidRPr="00856192">
        <w:rPr>
          <w:rFonts w:asciiTheme="minorHAnsi" w:hAnsiTheme="minorHAnsi" w:cstheme="minorHAnsi"/>
          <w:i/>
          <w:iCs/>
          <w:sz w:val="22"/>
          <w:szCs w:val="22"/>
        </w:rPr>
        <w:t>Hvis nytt tilskudd ikke er aktuelt:</w:t>
      </w:r>
      <w:r w:rsidRPr="00856192">
        <w:rPr>
          <w:rFonts w:asciiTheme="minorHAnsi" w:hAnsiTheme="minorHAnsi" w:cstheme="minorHAnsi"/>
          <w:i/>
          <w:iCs/>
          <w:sz w:val="22"/>
          <w:szCs w:val="22"/>
        </w:rPr>
        <w:br/>
      </w:r>
      <w:r w:rsidRPr="00856192">
        <w:rPr>
          <w:rFonts w:asciiTheme="minorHAnsi" w:hAnsiTheme="minorHAnsi" w:cstheme="minorHAnsi"/>
          <w:sz w:val="22"/>
          <w:szCs w:val="22"/>
        </w:rPr>
        <w:t xml:space="preserve">Tilskudd som dere ikke bruker kan også overføres til neste år, selv om det ikke er aktuelt med nytt tilskudd. Dette krever en kortfattet søknad per brev til vår postadresse, eller e-post til </w:t>
      </w:r>
      <w:r w:rsidRPr="00856192">
        <w:rPr>
          <w:rFonts w:asciiTheme="minorHAnsi" w:hAnsiTheme="minorHAnsi" w:cstheme="minorHAnsi"/>
          <w:sz w:val="22"/>
          <w:szCs w:val="22"/>
          <w:u w:val="single"/>
        </w:rPr>
        <w:t>sftfpost@statsforvalteren.no</w:t>
      </w:r>
      <w:r w:rsidRPr="00856192">
        <w:rPr>
          <w:rFonts w:asciiTheme="minorHAnsi" w:hAnsiTheme="minorHAnsi" w:cstheme="minorHAnsi"/>
          <w:sz w:val="22"/>
          <w:szCs w:val="22"/>
        </w:rPr>
        <w:t xml:space="preserve"> innen årsskiftet 2024/2025. Saksbehandler vurderer behov for ytterligere opplysning eller en helt ny søknad, før overføring kan behandles. </w:t>
      </w:r>
      <w:r w:rsidRPr="00856192">
        <w:rPr>
          <w:rFonts w:asciiTheme="minorHAnsi" w:hAnsiTheme="minorHAnsi" w:cstheme="minorHAnsi"/>
          <w:b/>
          <w:bCs/>
          <w:sz w:val="22"/>
          <w:szCs w:val="22"/>
        </w:rPr>
        <w:t>Tilskudd kan bare overføres ett år, når nytt tilskudd ikke er aktuelt.</w:t>
      </w:r>
    </w:p>
    <w:p w14:paraId="5C109A3C" w14:textId="77777777" w:rsidR="00856192" w:rsidRPr="00856192" w:rsidRDefault="00856192" w:rsidP="00856192">
      <w:pPr>
        <w:rPr>
          <w:rFonts w:asciiTheme="minorHAnsi" w:hAnsiTheme="minorHAnsi" w:cstheme="minorHAnsi"/>
          <w:sz w:val="22"/>
          <w:szCs w:val="22"/>
        </w:rPr>
      </w:pPr>
    </w:p>
    <w:p w14:paraId="219699EE" w14:textId="031ECCFD"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b/>
          <w:bCs/>
          <w:sz w:val="22"/>
          <w:szCs w:val="22"/>
        </w:rPr>
        <w:t>Kontroll av tilskuddsmottakere og dokumentasjon</w:t>
      </w:r>
      <w:r w:rsidRPr="00856192">
        <w:rPr>
          <w:rFonts w:asciiTheme="minorHAnsi" w:hAnsiTheme="minorHAnsi" w:cstheme="minorHAnsi"/>
          <w:b/>
          <w:bCs/>
          <w:sz w:val="22"/>
          <w:szCs w:val="22"/>
        </w:rPr>
        <w:br/>
      </w:r>
      <w:r w:rsidRPr="00856192">
        <w:rPr>
          <w:rFonts w:asciiTheme="minorHAnsi" w:hAnsiTheme="minorHAnsi" w:cstheme="minorHAnsi"/>
          <w:sz w:val="22"/>
          <w:szCs w:val="22"/>
        </w:rPr>
        <w:t>Statsforvalteren tar forbehold om rett til å kontrollere at midlene brukes etter forutsetningene, jf. § 10,2. ledd i Bevilgningsreglementet. Statsforvalteren gjør også oppmerksom på at Riksrevisjonen har adgang til å kontrollere om tilskudd benyttes etter forutsetningene. Dette er hjemlet i Lov om Riksrevisjon § 12, 2.ledd.</w:t>
      </w:r>
    </w:p>
    <w:p w14:paraId="299C0E70" w14:textId="77777777" w:rsidR="00856192" w:rsidRPr="00856192" w:rsidRDefault="00856192" w:rsidP="00856192">
      <w:pPr>
        <w:rPr>
          <w:rFonts w:asciiTheme="minorHAnsi" w:hAnsiTheme="minorHAnsi" w:cstheme="minorHAnsi"/>
          <w:color w:val="2E74B5" w:themeColor="accent5" w:themeShade="BF"/>
          <w:sz w:val="22"/>
          <w:szCs w:val="22"/>
        </w:rPr>
      </w:pPr>
    </w:p>
    <w:p w14:paraId="62E2A365" w14:textId="717472F4"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shd w:val="clear" w:color="auto" w:fill="FCFFFC"/>
        </w:rPr>
        <w:t>Regnskapsdata og dokumentasjon av opplysninger som ligger til grunn for søknaden eller rapporteringen, skal oppbevares for kontroll i minimum 10 år etter at tilskuddet ble mottatt. Det vises her til </w:t>
      </w:r>
      <w:r>
        <w:rPr>
          <w:rFonts w:asciiTheme="minorHAnsi" w:hAnsiTheme="minorHAnsi" w:cstheme="minorHAnsi"/>
          <w:sz w:val="22"/>
          <w:szCs w:val="22"/>
          <w:shd w:val="clear" w:color="auto" w:fill="FCFFFC"/>
        </w:rPr>
        <w:t xml:space="preserve"> </w:t>
      </w:r>
      <w:hyperlink r:id="rId6" w:history="1">
        <w:r>
          <w:rPr>
            <w:rStyle w:val="Hyperkobling"/>
          </w:rPr>
          <w:t>Lov om nasjonale saksbehandlingsregler i saker om offentlig støtte (støtteprosessloven) - Lovdata</w:t>
        </w:r>
      </w:hyperlink>
    </w:p>
    <w:p w14:paraId="2BA34930" w14:textId="77777777" w:rsidR="00856192" w:rsidRPr="00856192" w:rsidRDefault="00856192" w:rsidP="00856192">
      <w:pPr>
        <w:rPr>
          <w:rFonts w:asciiTheme="minorHAnsi" w:hAnsiTheme="minorHAnsi" w:cstheme="minorHAnsi"/>
          <w:b/>
          <w:bCs/>
          <w:sz w:val="22"/>
          <w:szCs w:val="22"/>
        </w:rPr>
      </w:pPr>
    </w:p>
    <w:p w14:paraId="20B67D2B" w14:textId="3B8D5B9A" w:rsidR="00856192" w:rsidRPr="00856192" w:rsidRDefault="00856192" w:rsidP="00856192">
      <w:pPr>
        <w:rPr>
          <w:rFonts w:asciiTheme="minorHAnsi" w:hAnsiTheme="minorHAnsi" w:cstheme="minorHAnsi"/>
          <w:b/>
          <w:bCs/>
          <w:sz w:val="22"/>
          <w:szCs w:val="22"/>
        </w:rPr>
      </w:pPr>
      <w:r w:rsidRPr="00856192">
        <w:rPr>
          <w:rFonts w:asciiTheme="minorHAnsi" w:hAnsiTheme="minorHAnsi" w:cstheme="minorHAnsi"/>
          <w:b/>
          <w:bCs/>
          <w:sz w:val="22"/>
          <w:szCs w:val="22"/>
        </w:rPr>
        <w:t>Rapportering på måloppnåelse – FRIST 01.mars 2025</w:t>
      </w:r>
    </w:p>
    <w:p w14:paraId="13EC9658" w14:textId="77777777" w:rsidR="00856192" w:rsidRPr="00856192" w:rsidRDefault="00856192" w:rsidP="00856192">
      <w:pPr>
        <w:shd w:val="clear" w:color="auto" w:fill="FCFFFC"/>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Rapporteringen skal beskrive tilskuddsmottakers vurdering av gjennomførte tiltak og hvordan/i hvilken grad dette har bidratt til at målene for tilskuddsordningen er oppnådd.</w:t>
      </w:r>
    </w:p>
    <w:p w14:paraId="76505886" w14:textId="77777777" w:rsidR="00856192" w:rsidRPr="00856192" w:rsidRDefault="00856192" w:rsidP="00856192">
      <w:pPr>
        <w:numPr>
          <w:ilvl w:val="0"/>
          <w:numId w:val="3"/>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Beskrivelse av prosjekt/tiltak som er gjennomført og eventuelle utfordringer og justeringer underveis. Hvis aktiviteter er forsinket eller mål ikke er oppnådd skal tilskuddsmottaker beskrive årsakene og beskrive tiltak for fremtidig måloppnåelse. </w:t>
      </w:r>
    </w:p>
    <w:p w14:paraId="0361137B" w14:textId="77777777" w:rsidR="00856192" w:rsidRPr="00856192" w:rsidRDefault="00856192" w:rsidP="00856192">
      <w:pPr>
        <w:numPr>
          <w:ilvl w:val="0"/>
          <w:numId w:val="3"/>
        </w:numPr>
        <w:shd w:val="clear" w:color="auto" w:fill="FCFFFC"/>
        <w:spacing w:before="100" w:beforeAutospacing="1" w:after="100" w:afterAutospacing="1"/>
        <w:rPr>
          <w:rFonts w:asciiTheme="minorHAnsi" w:eastAsia="Times New Roman" w:hAnsiTheme="minorHAnsi" w:cstheme="minorHAnsi"/>
          <w:sz w:val="22"/>
          <w:szCs w:val="22"/>
          <w:lang w:eastAsia="nb-NO"/>
        </w:rPr>
      </w:pPr>
      <w:r w:rsidRPr="00856192">
        <w:rPr>
          <w:rFonts w:asciiTheme="minorHAnsi" w:eastAsia="Times New Roman" w:hAnsiTheme="minorHAnsi" w:cstheme="minorHAnsi"/>
          <w:sz w:val="22"/>
          <w:szCs w:val="22"/>
          <w:lang w:eastAsia="nb-NO"/>
        </w:rPr>
        <w:t>Beskrivelse av resultater og grad av måloppnåelse (lav, middel eller høy grad av måloppnåelse) sett opp mot søknaden og målene for tilskuddsordningen.</w:t>
      </w:r>
    </w:p>
    <w:p w14:paraId="3E350078" w14:textId="77777777" w:rsidR="00856192" w:rsidRPr="00856192" w:rsidRDefault="00856192" w:rsidP="00856192">
      <w:pPr>
        <w:shd w:val="clear" w:color="auto" w:fill="FCFFFC"/>
        <w:spacing w:before="240"/>
        <w:rPr>
          <w:rFonts w:asciiTheme="minorHAnsi" w:eastAsia="Times New Roman" w:hAnsiTheme="minorHAnsi" w:cstheme="minorHAnsi"/>
          <w:color w:val="212121"/>
          <w:sz w:val="22"/>
          <w:szCs w:val="22"/>
          <w:lang w:eastAsia="nb-NO"/>
        </w:rPr>
      </w:pPr>
      <w:r w:rsidRPr="00856192">
        <w:rPr>
          <w:rFonts w:asciiTheme="minorHAnsi" w:eastAsia="Times New Roman" w:hAnsiTheme="minorHAnsi" w:cstheme="minorHAnsi"/>
          <w:b/>
          <w:bCs/>
          <w:color w:val="212121"/>
          <w:sz w:val="22"/>
          <w:szCs w:val="22"/>
          <w:lang w:eastAsia="nb-NO"/>
        </w:rPr>
        <w:t>Regnskap:</w:t>
      </w:r>
      <w:r w:rsidRPr="00856192">
        <w:rPr>
          <w:rFonts w:asciiTheme="minorHAnsi" w:eastAsia="Times New Roman" w:hAnsiTheme="minorHAnsi" w:cstheme="minorHAnsi"/>
          <w:color w:val="212121"/>
          <w:sz w:val="22"/>
          <w:szCs w:val="22"/>
          <w:lang w:eastAsia="nb-NO"/>
        </w:rPr>
        <w:t xml:space="preserve"> Budsjett og regnskap fra tilskuddsmottaker skal kunne sammenlignes på samme nivå.</w:t>
      </w:r>
    </w:p>
    <w:p w14:paraId="7FEB07BF"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br/>
      </w:r>
      <w:r w:rsidRPr="00856192">
        <w:rPr>
          <w:rFonts w:asciiTheme="minorHAnsi" w:hAnsiTheme="minorHAnsi" w:cstheme="minorHAnsi"/>
          <w:b/>
          <w:bCs/>
          <w:sz w:val="22"/>
          <w:szCs w:val="22"/>
        </w:rPr>
        <w:t>Regnskapsrapportering</w:t>
      </w:r>
      <w:r w:rsidRPr="00856192">
        <w:rPr>
          <w:rFonts w:asciiTheme="minorHAnsi" w:hAnsiTheme="minorHAnsi" w:cstheme="minorHAnsi"/>
          <w:b/>
          <w:bCs/>
          <w:sz w:val="22"/>
          <w:szCs w:val="22"/>
        </w:rPr>
        <w:br/>
      </w:r>
      <w:r w:rsidRPr="00856192">
        <w:rPr>
          <w:rFonts w:asciiTheme="minorHAnsi" w:hAnsiTheme="minorHAnsi" w:cstheme="minorHAnsi"/>
          <w:i/>
          <w:iCs/>
          <w:sz w:val="22"/>
          <w:szCs w:val="22"/>
        </w:rPr>
        <w:t>Det skal føres separat regnskap for tilskuddet i kommunens økonomisystem, skilt fra det øvrige regnskapet med for eksempel en prosjektkode</w:t>
      </w:r>
      <w:r w:rsidRPr="00856192">
        <w:rPr>
          <w:rFonts w:asciiTheme="minorHAnsi" w:hAnsiTheme="minorHAnsi" w:cstheme="minorHAnsi"/>
          <w:sz w:val="22"/>
          <w:szCs w:val="22"/>
        </w:rPr>
        <w:t>. Regnskapet skal vise hvilke utgifter som er dekket av tilskuddet, og skal være atskilt fra regnskap for egne midler og/eller midler finansiert av andre.</w:t>
      </w:r>
    </w:p>
    <w:p w14:paraId="769519E1"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br/>
      </w:r>
      <w:r w:rsidRPr="00856192">
        <w:rPr>
          <w:rFonts w:asciiTheme="minorHAnsi" w:hAnsiTheme="minorHAnsi" w:cstheme="minorHAnsi"/>
          <w:b/>
          <w:bCs/>
          <w:sz w:val="22"/>
          <w:szCs w:val="22"/>
        </w:rPr>
        <w:t>Rapporteringsfrist</w:t>
      </w:r>
      <w:r w:rsidRPr="00856192">
        <w:rPr>
          <w:rFonts w:asciiTheme="minorHAnsi" w:hAnsiTheme="minorHAnsi" w:cstheme="minorHAnsi"/>
          <w:b/>
          <w:bCs/>
          <w:sz w:val="22"/>
          <w:szCs w:val="22"/>
        </w:rPr>
        <w:br/>
      </w:r>
      <w:r w:rsidRPr="00856192">
        <w:rPr>
          <w:rFonts w:asciiTheme="minorHAnsi" w:hAnsiTheme="minorHAnsi" w:cstheme="minorHAnsi"/>
          <w:sz w:val="22"/>
          <w:szCs w:val="22"/>
        </w:rPr>
        <w:t>Mottaker av tilskuddet skal rapportere i henhold til kravene oppført i dette brevet. For</w:t>
      </w:r>
      <w:r w:rsidRPr="00856192">
        <w:rPr>
          <w:rFonts w:asciiTheme="minorHAnsi" w:hAnsiTheme="minorHAnsi" w:cstheme="minorHAnsi"/>
          <w:sz w:val="22"/>
          <w:szCs w:val="22"/>
        </w:rPr>
        <w:br/>
        <w:t xml:space="preserve">prosjekter/tiltak/aktiviteter som går over flere år, skal det rapporteres hvert år kommunen mottar </w:t>
      </w:r>
      <w:r w:rsidRPr="00856192">
        <w:rPr>
          <w:rFonts w:asciiTheme="minorHAnsi" w:hAnsiTheme="minorHAnsi" w:cstheme="minorHAnsi"/>
          <w:sz w:val="22"/>
          <w:szCs w:val="22"/>
        </w:rPr>
        <w:lastRenderedPageBreak/>
        <w:t xml:space="preserve">tilskudd. Frist for endelig rapportering er </w:t>
      </w:r>
      <w:r w:rsidRPr="00856192">
        <w:rPr>
          <w:rFonts w:asciiTheme="minorHAnsi" w:hAnsiTheme="minorHAnsi" w:cstheme="minorHAnsi"/>
          <w:b/>
          <w:bCs/>
          <w:sz w:val="22"/>
          <w:szCs w:val="22"/>
        </w:rPr>
        <w:t xml:space="preserve">01.03.2025 </w:t>
      </w:r>
      <w:r w:rsidRPr="00856192">
        <w:rPr>
          <w:rFonts w:asciiTheme="minorHAnsi" w:hAnsiTheme="minorHAnsi" w:cstheme="minorHAnsi"/>
          <w:sz w:val="22"/>
          <w:szCs w:val="22"/>
        </w:rPr>
        <w:t>og rapporten skal sendes Statsforvalteren i Troms og Finnmark.</w:t>
      </w:r>
    </w:p>
    <w:p w14:paraId="510EB15E" w14:textId="77777777" w:rsidR="00856192" w:rsidRPr="00856192" w:rsidRDefault="00856192" w:rsidP="00856192">
      <w:pPr>
        <w:rPr>
          <w:rFonts w:asciiTheme="minorHAnsi" w:hAnsiTheme="minorHAnsi" w:cstheme="minorHAnsi"/>
          <w:i/>
          <w:iCs/>
          <w:sz w:val="22"/>
          <w:szCs w:val="22"/>
        </w:rPr>
      </w:pPr>
      <w:r w:rsidRPr="00856192">
        <w:rPr>
          <w:rFonts w:asciiTheme="minorHAnsi" w:hAnsiTheme="minorHAnsi" w:cstheme="minorHAnsi"/>
          <w:sz w:val="22"/>
          <w:szCs w:val="22"/>
        </w:rPr>
        <w:br/>
      </w:r>
      <w:r w:rsidRPr="00856192">
        <w:rPr>
          <w:rFonts w:asciiTheme="minorHAnsi" w:hAnsiTheme="minorHAnsi" w:cstheme="minorHAnsi"/>
          <w:b/>
          <w:bCs/>
          <w:sz w:val="22"/>
          <w:szCs w:val="22"/>
        </w:rPr>
        <w:t>Revisorkontroll</w:t>
      </w:r>
      <w:r w:rsidRPr="00856192">
        <w:rPr>
          <w:rFonts w:asciiTheme="minorHAnsi" w:hAnsiTheme="minorHAnsi" w:cstheme="minorHAnsi"/>
          <w:b/>
          <w:bCs/>
          <w:sz w:val="22"/>
          <w:szCs w:val="22"/>
        </w:rPr>
        <w:br/>
      </w:r>
      <w:r w:rsidRPr="00856192">
        <w:rPr>
          <w:rFonts w:asciiTheme="minorHAnsi" w:hAnsiTheme="minorHAnsi" w:cstheme="minorHAnsi"/>
          <w:sz w:val="22"/>
          <w:szCs w:val="22"/>
        </w:rPr>
        <w:t xml:space="preserve">Revisor skal motta en kopi av dette brevet ved revisjon eller avtalte kontrollhandlinger knyttet til dette tilskuddet. Regnskapet skal være revidert i samsvar med Den norske revisorforeningens standard ISA 805 </w:t>
      </w:r>
      <w:r w:rsidRPr="00856192">
        <w:rPr>
          <w:rFonts w:asciiTheme="minorHAnsi" w:hAnsiTheme="minorHAnsi" w:cstheme="minorHAnsi"/>
          <w:i/>
          <w:iCs/>
          <w:sz w:val="22"/>
          <w:szCs w:val="22"/>
        </w:rPr>
        <w:t>«Særlige hensyns ved revisjon av enkeltstående regnskapsoppstillinger og spesifikke elementer, kontoer eller poster i en regnskapsoppstilling».</w:t>
      </w:r>
    </w:p>
    <w:p w14:paraId="7F5B0B33" w14:textId="33495F75"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 xml:space="preserve">Krav til revisorbekreftelse gjelder ikke for tilskudd mindre enn kr </w:t>
      </w:r>
      <w:r w:rsidRPr="00856192">
        <w:rPr>
          <w:rFonts w:asciiTheme="minorHAnsi" w:hAnsiTheme="minorHAnsi" w:cstheme="minorHAnsi"/>
          <w:b/>
          <w:bCs/>
          <w:sz w:val="22"/>
          <w:szCs w:val="22"/>
        </w:rPr>
        <w:t xml:space="preserve">200 000,-. </w:t>
      </w:r>
    </w:p>
    <w:p w14:paraId="62C9A394"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t xml:space="preserve">Revisorattestert regnskap skal oversendes Statsforvalteren innen </w:t>
      </w:r>
      <w:r w:rsidRPr="00856192">
        <w:rPr>
          <w:rFonts w:asciiTheme="minorHAnsi" w:hAnsiTheme="minorHAnsi" w:cstheme="minorHAnsi"/>
          <w:b/>
          <w:bCs/>
          <w:sz w:val="22"/>
          <w:szCs w:val="22"/>
        </w:rPr>
        <w:t>01.04.2025</w:t>
      </w:r>
      <w:r w:rsidRPr="00856192">
        <w:rPr>
          <w:rFonts w:asciiTheme="minorHAnsi" w:hAnsiTheme="minorHAnsi" w:cstheme="minorHAnsi"/>
          <w:sz w:val="22"/>
          <w:szCs w:val="22"/>
        </w:rPr>
        <w:t>.</w:t>
      </w:r>
    </w:p>
    <w:p w14:paraId="6C954EF0" w14:textId="77777777" w:rsidR="00856192" w:rsidRPr="00856192" w:rsidRDefault="00856192" w:rsidP="00856192">
      <w:pPr>
        <w:rPr>
          <w:rFonts w:asciiTheme="minorHAnsi" w:hAnsiTheme="minorHAnsi" w:cstheme="minorHAnsi"/>
          <w:sz w:val="22"/>
          <w:szCs w:val="22"/>
        </w:rPr>
      </w:pPr>
    </w:p>
    <w:p w14:paraId="370235CA" w14:textId="77777777" w:rsidR="00856192" w:rsidRPr="00856192" w:rsidRDefault="00856192" w:rsidP="00856192">
      <w:pPr>
        <w:rPr>
          <w:rFonts w:asciiTheme="minorHAnsi" w:hAnsiTheme="minorHAnsi" w:cstheme="minorHAnsi"/>
          <w:i/>
          <w:iCs/>
          <w:sz w:val="22"/>
          <w:szCs w:val="22"/>
        </w:rPr>
      </w:pPr>
      <w:r w:rsidRPr="00856192">
        <w:rPr>
          <w:rFonts w:asciiTheme="minorHAnsi" w:hAnsiTheme="minorHAnsi" w:cstheme="minorHAnsi"/>
          <w:b/>
          <w:bCs/>
          <w:sz w:val="22"/>
          <w:szCs w:val="22"/>
        </w:rPr>
        <w:t>Tilskudd som er overført til påfølgende år</w:t>
      </w:r>
      <w:r w:rsidRPr="00856192">
        <w:rPr>
          <w:rFonts w:asciiTheme="minorHAnsi" w:hAnsiTheme="minorHAnsi" w:cstheme="minorHAnsi"/>
          <w:sz w:val="22"/>
          <w:szCs w:val="22"/>
        </w:rPr>
        <w:t xml:space="preserve">: </w:t>
      </w:r>
      <w:r w:rsidRPr="00856192">
        <w:rPr>
          <w:rFonts w:asciiTheme="minorHAnsi" w:hAnsiTheme="minorHAnsi" w:cstheme="minorHAnsi"/>
          <w:i/>
          <w:iCs/>
          <w:sz w:val="22"/>
          <w:szCs w:val="22"/>
        </w:rPr>
        <w:t>Dersom innvilget tilskudd er høyere enn 200 000 kroner per år, mens forbruket er lavere enn 200 000 kroner per år, kan det leveres revisorbekreftelse for to år av gangen.</w:t>
      </w:r>
    </w:p>
    <w:p w14:paraId="20342ED5" w14:textId="257782EB" w:rsidR="00856192" w:rsidRPr="00856192" w:rsidRDefault="00856192" w:rsidP="00856192">
      <w:pPr>
        <w:rPr>
          <w:rFonts w:asciiTheme="minorHAnsi" w:hAnsiTheme="minorHAnsi" w:cstheme="minorHAnsi"/>
          <w:strike/>
          <w:sz w:val="22"/>
          <w:szCs w:val="22"/>
        </w:rPr>
      </w:pPr>
      <w:r w:rsidRPr="00856192">
        <w:rPr>
          <w:rFonts w:asciiTheme="minorHAnsi" w:hAnsiTheme="minorHAnsi" w:cstheme="minorHAnsi"/>
          <w:sz w:val="22"/>
          <w:szCs w:val="22"/>
        </w:rPr>
        <w:br/>
      </w:r>
      <w:r w:rsidRPr="00856192">
        <w:rPr>
          <w:rFonts w:asciiTheme="minorHAnsi" w:hAnsiTheme="minorHAnsi" w:cstheme="minorHAnsi"/>
          <w:b/>
          <w:bCs/>
          <w:sz w:val="22"/>
          <w:szCs w:val="22"/>
        </w:rPr>
        <w:t>Klagerett</w:t>
      </w:r>
    </w:p>
    <w:p w14:paraId="0CF577D9" w14:textId="77777777" w:rsidR="00856192" w:rsidRPr="00856192" w:rsidRDefault="00856192" w:rsidP="00856192">
      <w:pPr>
        <w:rPr>
          <w:rFonts w:asciiTheme="minorHAnsi" w:hAnsiTheme="minorHAnsi" w:cstheme="minorHAnsi"/>
          <w:strike/>
          <w:sz w:val="22"/>
          <w:szCs w:val="22"/>
        </w:rPr>
      </w:pPr>
      <w:r w:rsidRPr="00856192">
        <w:rPr>
          <w:rFonts w:asciiTheme="minorHAnsi" w:hAnsiTheme="minorHAnsi" w:cstheme="minorHAnsi"/>
          <w:sz w:val="22"/>
          <w:szCs w:val="22"/>
        </w:rPr>
        <w:t>Tildeling av/avslag på tilskudd under ordningen er ikke et enkeltvedtak. I henhold til forvaltningsloven §28 er det ikke klagerett.</w:t>
      </w:r>
    </w:p>
    <w:p w14:paraId="40038AD6" w14:textId="77777777" w:rsidR="00856192" w:rsidRPr="00856192" w:rsidRDefault="00856192" w:rsidP="00856192">
      <w:pPr>
        <w:rPr>
          <w:rFonts w:asciiTheme="minorHAnsi" w:hAnsiTheme="minorHAnsi" w:cstheme="minorHAnsi"/>
          <w:sz w:val="22"/>
          <w:szCs w:val="22"/>
        </w:rPr>
      </w:pPr>
      <w:r w:rsidRPr="00856192">
        <w:rPr>
          <w:rFonts w:asciiTheme="minorHAnsi" w:hAnsiTheme="minorHAnsi" w:cstheme="minorHAnsi"/>
          <w:sz w:val="22"/>
          <w:szCs w:val="22"/>
        </w:rPr>
        <w:br/>
      </w:r>
      <w:r w:rsidRPr="00856192">
        <w:rPr>
          <w:rFonts w:asciiTheme="minorHAnsi" w:hAnsiTheme="minorHAnsi" w:cstheme="minorHAnsi"/>
          <w:b/>
          <w:bCs/>
          <w:sz w:val="22"/>
          <w:szCs w:val="22"/>
        </w:rPr>
        <w:t>Søknadsfrist for neste års tilskudd</w:t>
      </w:r>
      <w:r w:rsidRPr="00856192">
        <w:rPr>
          <w:rFonts w:asciiTheme="minorHAnsi" w:hAnsiTheme="minorHAnsi" w:cstheme="minorHAnsi"/>
          <w:b/>
          <w:bCs/>
          <w:sz w:val="22"/>
          <w:szCs w:val="22"/>
        </w:rPr>
        <w:br/>
      </w:r>
      <w:r w:rsidRPr="00856192">
        <w:rPr>
          <w:rFonts w:asciiTheme="minorHAnsi" w:hAnsiTheme="minorHAnsi" w:cstheme="minorHAnsi"/>
          <w:sz w:val="22"/>
          <w:szCs w:val="22"/>
        </w:rPr>
        <w:t xml:space="preserve">Det må søkes om tilskudd for hvert enkelt år. Søknadsfristen for tilskudd til prosjekter/aktiviteter som planlegges videreført neste år, vil bli publisert på hjemmesiden til Helsedirektoratet og Statsforvalteren i Troms og Finnmark i januar/februar 2025. Det tas forbehold om Stortingets bevilgning kommende år. </w:t>
      </w:r>
    </w:p>
    <w:p w14:paraId="62F206C3" w14:textId="77777777" w:rsidR="00856192" w:rsidRPr="00152766" w:rsidRDefault="00856192" w:rsidP="00856192">
      <w:pPr>
        <w:rPr>
          <w:rFonts w:asciiTheme="minorHAnsi" w:hAnsiTheme="minorHAnsi" w:cstheme="minorHAnsi"/>
          <w:sz w:val="24"/>
          <w:szCs w:val="24"/>
        </w:rPr>
      </w:pPr>
    </w:p>
    <w:p w14:paraId="79FA4A91" w14:textId="77777777" w:rsidR="00856192" w:rsidRPr="00367084" w:rsidRDefault="00856192" w:rsidP="00856192"/>
    <w:p w14:paraId="120B93D1" w14:textId="77777777" w:rsidR="00856192" w:rsidRPr="00E85FCA" w:rsidRDefault="00856192" w:rsidP="00856192"/>
    <w:p w14:paraId="61326535" w14:textId="77777777" w:rsidR="00856192" w:rsidRDefault="00856192" w:rsidP="00856192"/>
    <w:p w14:paraId="3407F173" w14:textId="77777777" w:rsidR="00E44E0F" w:rsidRPr="00856192" w:rsidRDefault="00E44E0F" w:rsidP="00856192"/>
    <w:sectPr w:rsidR="00E44E0F" w:rsidRPr="008561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C089B"/>
    <w:multiLevelType w:val="hybridMultilevel"/>
    <w:tmpl w:val="9D3236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49FC7BCE"/>
    <w:multiLevelType w:val="multilevel"/>
    <w:tmpl w:val="C9C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51F61"/>
    <w:multiLevelType w:val="hybridMultilevel"/>
    <w:tmpl w:val="29EEED52"/>
    <w:lvl w:ilvl="0" w:tplc="8A7A0166">
      <w:start w:val="1"/>
      <w:numFmt w:val="bullet"/>
      <w:lvlText w:val=""/>
      <w:lvlJc w:val="left"/>
      <w:pPr>
        <w:ind w:left="720" w:hanging="360"/>
      </w:pPr>
      <w:rPr>
        <w:rFonts w:ascii="Symbol" w:hAnsi="Symbol" w:hint="default"/>
      </w:rPr>
    </w:lvl>
    <w:lvl w:ilvl="1" w:tplc="EE586FA6" w:tentative="1">
      <w:start w:val="1"/>
      <w:numFmt w:val="bullet"/>
      <w:lvlText w:val="o"/>
      <w:lvlJc w:val="left"/>
      <w:pPr>
        <w:ind w:left="1440" w:hanging="360"/>
      </w:pPr>
      <w:rPr>
        <w:rFonts w:ascii="Courier New" w:hAnsi="Courier New" w:cs="Courier New" w:hint="default"/>
      </w:rPr>
    </w:lvl>
    <w:lvl w:ilvl="2" w:tplc="CD32A8EA" w:tentative="1">
      <w:start w:val="1"/>
      <w:numFmt w:val="bullet"/>
      <w:lvlText w:val=""/>
      <w:lvlJc w:val="left"/>
      <w:pPr>
        <w:ind w:left="2160" w:hanging="360"/>
      </w:pPr>
      <w:rPr>
        <w:rFonts w:ascii="Wingdings" w:hAnsi="Wingdings" w:hint="default"/>
      </w:rPr>
    </w:lvl>
    <w:lvl w:ilvl="3" w:tplc="AAA2A698" w:tentative="1">
      <w:start w:val="1"/>
      <w:numFmt w:val="bullet"/>
      <w:lvlText w:val=""/>
      <w:lvlJc w:val="left"/>
      <w:pPr>
        <w:ind w:left="2880" w:hanging="360"/>
      </w:pPr>
      <w:rPr>
        <w:rFonts w:ascii="Symbol" w:hAnsi="Symbol" w:hint="default"/>
      </w:rPr>
    </w:lvl>
    <w:lvl w:ilvl="4" w:tplc="BE1A62E6" w:tentative="1">
      <w:start w:val="1"/>
      <w:numFmt w:val="bullet"/>
      <w:lvlText w:val="o"/>
      <w:lvlJc w:val="left"/>
      <w:pPr>
        <w:ind w:left="3600" w:hanging="360"/>
      </w:pPr>
      <w:rPr>
        <w:rFonts w:ascii="Courier New" w:hAnsi="Courier New" w:cs="Courier New" w:hint="default"/>
      </w:rPr>
    </w:lvl>
    <w:lvl w:ilvl="5" w:tplc="86863BBC" w:tentative="1">
      <w:start w:val="1"/>
      <w:numFmt w:val="bullet"/>
      <w:lvlText w:val=""/>
      <w:lvlJc w:val="left"/>
      <w:pPr>
        <w:ind w:left="4320" w:hanging="360"/>
      </w:pPr>
      <w:rPr>
        <w:rFonts w:ascii="Wingdings" w:hAnsi="Wingdings" w:hint="default"/>
      </w:rPr>
    </w:lvl>
    <w:lvl w:ilvl="6" w:tplc="0CA6B588" w:tentative="1">
      <w:start w:val="1"/>
      <w:numFmt w:val="bullet"/>
      <w:lvlText w:val=""/>
      <w:lvlJc w:val="left"/>
      <w:pPr>
        <w:ind w:left="5040" w:hanging="360"/>
      </w:pPr>
      <w:rPr>
        <w:rFonts w:ascii="Symbol" w:hAnsi="Symbol" w:hint="default"/>
      </w:rPr>
    </w:lvl>
    <w:lvl w:ilvl="7" w:tplc="D76A8A64" w:tentative="1">
      <w:start w:val="1"/>
      <w:numFmt w:val="bullet"/>
      <w:lvlText w:val="o"/>
      <w:lvlJc w:val="left"/>
      <w:pPr>
        <w:ind w:left="5760" w:hanging="360"/>
      </w:pPr>
      <w:rPr>
        <w:rFonts w:ascii="Courier New" w:hAnsi="Courier New" w:cs="Courier New" w:hint="default"/>
      </w:rPr>
    </w:lvl>
    <w:lvl w:ilvl="8" w:tplc="95148A58" w:tentative="1">
      <w:start w:val="1"/>
      <w:numFmt w:val="bullet"/>
      <w:lvlText w:val=""/>
      <w:lvlJc w:val="left"/>
      <w:pPr>
        <w:ind w:left="6480" w:hanging="360"/>
      </w:pPr>
      <w:rPr>
        <w:rFonts w:ascii="Wingdings" w:hAnsi="Wingdings" w:hint="default"/>
      </w:rPr>
    </w:lvl>
  </w:abstractNum>
  <w:abstractNum w:abstractNumId="3" w15:restartNumberingAfterBreak="0">
    <w:nsid w:val="528A2FD8"/>
    <w:multiLevelType w:val="hybridMultilevel"/>
    <w:tmpl w:val="3DC62A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6A3138"/>
    <w:multiLevelType w:val="multilevel"/>
    <w:tmpl w:val="CFC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90958">
    <w:abstractNumId w:val="2"/>
  </w:num>
  <w:num w:numId="2" w16cid:durableId="447358389">
    <w:abstractNumId w:val="3"/>
  </w:num>
  <w:num w:numId="3" w16cid:durableId="2001500532">
    <w:abstractNumId w:val="4"/>
  </w:num>
  <w:num w:numId="4" w16cid:durableId="1986271972">
    <w:abstractNumId w:val="1"/>
  </w:num>
  <w:num w:numId="5" w16cid:durableId="175821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26"/>
    <w:rsid w:val="00050E65"/>
    <w:rsid w:val="00152766"/>
    <w:rsid w:val="001D0607"/>
    <w:rsid w:val="00204EC0"/>
    <w:rsid w:val="00236875"/>
    <w:rsid w:val="002403F8"/>
    <w:rsid w:val="002D3AB2"/>
    <w:rsid w:val="003605D7"/>
    <w:rsid w:val="005A0467"/>
    <w:rsid w:val="0080250F"/>
    <w:rsid w:val="00820744"/>
    <w:rsid w:val="00856192"/>
    <w:rsid w:val="00A45A26"/>
    <w:rsid w:val="00A63709"/>
    <w:rsid w:val="00A653E0"/>
    <w:rsid w:val="00AF2B83"/>
    <w:rsid w:val="00C209BB"/>
    <w:rsid w:val="00CF597C"/>
    <w:rsid w:val="00DE64C1"/>
    <w:rsid w:val="00E44E0F"/>
    <w:rsid w:val="00E74E0A"/>
    <w:rsid w:val="00FF55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A6C7"/>
  <w15:chartTrackingRefBased/>
  <w15:docId w15:val="{2D4015A4-217C-446B-A24E-CBB45E12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A26"/>
    <w:pPr>
      <w:spacing w:after="0" w:line="240" w:lineRule="auto"/>
    </w:pPr>
    <w:rPr>
      <w:rFonts w:ascii="Open Sans" w:hAnsi="Open Sans"/>
      <w:sz w:val="20"/>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45A26"/>
    <w:rPr>
      <w:color w:val="0563C1" w:themeColor="hyperlink"/>
      <w:u w:val="single"/>
    </w:rPr>
  </w:style>
  <w:style w:type="paragraph" w:styleId="Listeavsnitt">
    <w:name w:val="List Paragraph"/>
    <w:basedOn w:val="Normal"/>
    <w:uiPriority w:val="34"/>
    <w:qFormat/>
    <w:rsid w:val="00A45A26"/>
    <w:pPr>
      <w:ind w:left="720"/>
      <w:contextualSpacing/>
    </w:pPr>
  </w:style>
  <w:style w:type="character" w:styleId="Fulgthyperkobling">
    <w:name w:val="FollowedHyperlink"/>
    <w:basedOn w:val="Standardskriftforavsnitt"/>
    <w:uiPriority w:val="99"/>
    <w:semiHidden/>
    <w:unhideWhenUsed/>
    <w:rsid w:val="00050E65"/>
    <w:rPr>
      <w:color w:val="954F72" w:themeColor="followedHyperlink"/>
      <w:u w:val="single"/>
    </w:rPr>
  </w:style>
  <w:style w:type="paragraph" w:styleId="NormalWeb">
    <w:name w:val="Normal (Web)"/>
    <w:basedOn w:val="Normal"/>
    <w:uiPriority w:val="99"/>
    <w:semiHidden/>
    <w:unhideWhenUsed/>
    <w:rsid w:val="00050E65"/>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fontstyle01">
    <w:name w:val="fontstyle01"/>
    <w:basedOn w:val="Standardskriftforavsnitt"/>
    <w:rsid w:val="00152766"/>
    <w:rPr>
      <w:rFonts w:ascii="OpenSans-Regular" w:hAnsi="OpenSans-Regular" w:hint="default"/>
      <w:b w:val="0"/>
      <w:bCs w:val="0"/>
      <w:i w:val="0"/>
      <w:iCs w:val="0"/>
      <w:color w:val="000000"/>
      <w:sz w:val="20"/>
      <w:szCs w:val="20"/>
    </w:rPr>
  </w:style>
  <w:style w:type="paragraph" w:styleId="Rentekst">
    <w:name w:val="Plain Text"/>
    <w:basedOn w:val="Normal"/>
    <w:link w:val="RentekstTegn"/>
    <w:uiPriority w:val="99"/>
    <w:semiHidden/>
    <w:unhideWhenUsed/>
    <w:rsid w:val="005A0467"/>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RentekstTegn">
    <w:name w:val="Ren tekst Tegn"/>
    <w:basedOn w:val="Standardskriftforavsnitt"/>
    <w:link w:val="Rentekst"/>
    <w:uiPriority w:val="99"/>
    <w:semiHidden/>
    <w:rsid w:val="005A0467"/>
    <w:rPr>
      <w:rFonts w:ascii="Times New Roman" w:eastAsia="Times New Roman" w:hAnsi="Times New Roman" w:cs="Times New Roman"/>
      <w:sz w:val="24"/>
      <w:szCs w:val="24"/>
      <w:lang w:eastAsia="nb-NO"/>
    </w:rPr>
  </w:style>
  <w:style w:type="paragraph" w:customStyle="1" w:styleId="tableparagraph">
    <w:name w:val="tableparagraph"/>
    <w:basedOn w:val="Normal"/>
    <w:rsid w:val="005A0467"/>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2710">
      <w:bodyDiv w:val="1"/>
      <w:marLeft w:val="0"/>
      <w:marRight w:val="0"/>
      <w:marTop w:val="0"/>
      <w:marBottom w:val="0"/>
      <w:divBdr>
        <w:top w:val="none" w:sz="0" w:space="0" w:color="auto"/>
        <w:left w:val="none" w:sz="0" w:space="0" w:color="auto"/>
        <w:bottom w:val="none" w:sz="0" w:space="0" w:color="auto"/>
        <w:right w:val="none" w:sz="0" w:space="0" w:color="auto"/>
      </w:divBdr>
    </w:div>
    <w:div w:id="863665022">
      <w:bodyDiv w:val="1"/>
      <w:marLeft w:val="0"/>
      <w:marRight w:val="0"/>
      <w:marTop w:val="0"/>
      <w:marBottom w:val="0"/>
      <w:divBdr>
        <w:top w:val="none" w:sz="0" w:space="0" w:color="auto"/>
        <w:left w:val="none" w:sz="0" w:space="0" w:color="auto"/>
        <w:bottom w:val="none" w:sz="0" w:space="0" w:color="auto"/>
        <w:right w:val="none" w:sz="0" w:space="0" w:color="auto"/>
      </w:divBdr>
    </w:div>
    <w:div w:id="1103188097">
      <w:bodyDiv w:val="1"/>
      <w:marLeft w:val="0"/>
      <w:marRight w:val="0"/>
      <w:marTop w:val="0"/>
      <w:marBottom w:val="0"/>
      <w:divBdr>
        <w:top w:val="none" w:sz="0" w:space="0" w:color="auto"/>
        <w:left w:val="none" w:sz="0" w:space="0" w:color="auto"/>
        <w:bottom w:val="none" w:sz="0" w:space="0" w:color="auto"/>
        <w:right w:val="none" w:sz="0" w:space="0" w:color="auto"/>
      </w:divBdr>
    </w:div>
    <w:div w:id="1168060350">
      <w:bodyDiv w:val="1"/>
      <w:marLeft w:val="0"/>
      <w:marRight w:val="0"/>
      <w:marTop w:val="0"/>
      <w:marBottom w:val="0"/>
      <w:divBdr>
        <w:top w:val="none" w:sz="0" w:space="0" w:color="auto"/>
        <w:left w:val="none" w:sz="0" w:space="0" w:color="auto"/>
        <w:bottom w:val="none" w:sz="0" w:space="0" w:color="auto"/>
        <w:right w:val="none" w:sz="0" w:space="0" w:color="auto"/>
      </w:divBdr>
    </w:div>
    <w:div w:id="12116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LTI/lov/2022-03-04-7" TargetMode="External"/><Relationship Id="rId5" Type="http://schemas.openxmlformats.org/officeDocument/2006/relationships/hyperlink" Target="https://www.helsedirektoratet.no/tilskudd/kompetansehevende-tiltak-for-lindrende-behandling-og-omsorg-ved-livets-slut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1168</Words>
  <Characters>6196</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Anu Anna-Maija</dc:creator>
  <cp:keywords/>
  <dc:description/>
  <cp:lastModifiedBy>Nilsen, Anu Anna-Maija</cp:lastModifiedBy>
  <cp:revision>4</cp:revision>
  <dcterms:created xsi:type="dcterms:W3CDTF">2023-12-12T07:37:00Z</dcterms:created>
  <dcterms:modified xsi:type="dcterms:W3CDTF">2023-12-12T08:08:00Z</dcterms:modified>
</cp:coreProperties>
</file>