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BB7" w:rsidRDefault="00F32BB7">
      <w:pPr>
        <w:pStyle w:val="Tittel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Vedlegg 1.</w:t>
      </w:r>
    </w:p>
    <w:p w:rsidR="00F32BB7" w:rsidRDefault="00F32BB7">
      <w:pPr>
        <w:pStyle w:val="Titte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Varslingsplan</w:t>
      </w:r>
    </w:p>
    <w:p w:rsidR="00F32BB7" w:rsidRDefault="00F32BB7">
      <w:pPr>
        <w:pStyle w:val="Undertitte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Felles plan for Evakuerte- og pårørendesenter (EPS) i Gjøvikregionen</w:t>
      </w:r>
    </w:p>
    <w:p w:rsidR="00F32BB7" w:rsidRDefault="008709C0">
      <w:pPr>
        <w:pStyle w:val="Overskrift1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99695</wp:posOffset>
            </wp:positionV>
            <wp:extent cx="2826385" cy="2152650"/>
            <wp:effectExtent l="0" t="0" r="0" b="0"/>
            <wp:wrapSquare wrapText="bothSides"/>
            <wp:docPr id="2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BB7">
        <w:rPr>
          <w:rFonts w:ascii="Times New Roman" w:hAnsi="Times New Roman" w:cs="Times New Roman"/>
        </w:rPr>
        <w:t>1. Varslingsplan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Varslingsplanen omfatter rutiner og varslingsprosedyrer på overordnet nivå som skal være felles for alle kommunene i Gjøvikregionen.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Tilsvarende må politiet ha rutiner og varslingsprosedyrer for sin organisasjon og andre eksterne organisasjoner og ressurser de ellers har ansvaret for å rekvirere og varsle.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enkelte kommune, politiet og andre organisasjoner forutsettes ellers å ha egne og interne rutiner og prosedyrer for varsling og rekvirering av personell og ressurser innenfor sine egne ansvarsområder, herunder respektive ansvarsområder i denne planen.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Utover dette vises det til de kommunale beredskapsplanene med tilhørende varslingsplaner og varslingslister, som bl.a. forutsettes oversendt til politiet og andre relevante aktører.</w:t>
      </w:r>
    </w:p>
    <w:p w:rsidR="00F32BB7" w:rsidRDefault="00F32BB7">
      <w:pPr>
        <w:pStyle w:val="Overskrif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Felles rutiner og varslingsprosedyrer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vil kunne være situasjonsavhengig hvem som varsler hvem av kommunen og politiet. Men normalt vil det være politiet som varsler kommunen om en hendelse hvor behovet for å etablere kommunal kriseledelse og evt. opprettelse av EPS oppstår.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Dersom hendelseskommunen ikke oppnår kontakt med eget nøkkelpersonell for EPS, kan forespørsel om bistand (bistandsanmodning) fra tilsvarende nøkkelpersonell rettes til en av de øvrige kommunene i Gjøvikregionen.</w:t>
      </w:r>
    </w:p>
    <w:p w:rsidR="00F32BB7" w:rsidRDefault="00F32BB7">
      <w:pPr>
        <w:overflowPunct/>
        <w:autoSpaceDE/>
        <w:autoSpaceDN/>
        <w:adjustRightInd/>
        <w:spacing w:line="276" w:lineRule="auto"/>
        <w:textAlignment w:val="auto"/>
        <w:rPr>
          <w:rFonts w:ascii="Cambria" w:hAnsi="Cambria" w:cs="Cambria"/>
          <w:b/>
          <w:bCs/>
          <w:color w:val="365F91"/>
          <w:sz w:val="26"/>
          <w:szCs w:val="26"/>
        </w:rPr>
      </w:pPr>
      <w:r>
        <w:rPr>
          <w:rFonts w:ascii="Times New Roman" w:hAnsi="Times New Roman" w:cs="Times New Roman"/>
        </w:rPr>
        <w:br w:type="page"/>
      </w:r>
    </w:p>
    <w:p w:rsidR="00F32BB7" w:rsidRDefault="00F32BB7">
      <w:pPr>
        <w:pStyle w:val="Overskrif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Varsling av kommunen hvor kriseledelsen ikke er satt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 hendelser hvor behov for å opprette EPS oppstår, skal kriseledelsen i hendelseskommunen varsles av politiet i samsvar med den enkelte kommunes varslingsrutiner.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Varsling av kommunen vil normalt skje ved kontakt med en av følgende:</w:t>
      </w:r>
    </w:p>
    <w:p w:rsidR="00F32BB7" w:rsidRDefault="00F32BB7">
      <w:pPr>
        <w:pStyle w:val="Listeavsnit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Rådmann (vanligvis kommunens kriseleder)</w:t>
      </w:r>
    </w:p>
    <w:p w:rsidR="00F32BB7" w:rsidRDefault="00F32BB7">
      <w:pPr>
        <w:pStyle w:val="Listeavsnit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Assisterende rådmann (stedfortreder)</w:t>
      </w:r>
    </w:p>
    <w:p w:rsidR="00F32BB7" w:rsidRDefault="00F32BB7">
      <w:pPr>
        <w:pStyle w:val="Listeavsnit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Ordfører</w:t>
      </w:r>
    </w:p>
    <w:p w:rsidR="00F32BB7" w:rsidRDefault="00F32BB7">
      <w:pPr>
        <w:pStyle w:val="Listeavsnit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Varaordfører</w:t>
      </w:r>
    </w:p>
    <w:p w:rsidR="00F32BB7" w:rsidRDefault="00F32BB7">
      <w:pPr>
        <w:pStyle w:val="Listeavsnit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annet medlem av kommunens kriseledelse</w:t>
      </w:r>
    </w:p>
    <w:p w:rsidR="00F32BB7" w:rsidRDefault="00F32BB7">
      <w:pPr>
        <w:pStyle w:val="Listeavsnit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Sentralbord (i kommunens åpningstid, dersom ingen av de ovennevnte nås)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den enkelte kommunes varslingslister for kontaktinformasjon.</w:t>
      </w:r>
    </w:p>
    <w:p w:rsidR="00F32BB7" w:rsidRDefault="00F32BB7">
      <w:pPr>
        <w:pStyle w:val="Overskrif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Varsling av politiet når kommunen må opprette EPS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Dersom kommunen selv ser behov for å opprette EPS, skal kommunen varsle politiet for å avklare behovet og iverksette dette.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Politiet varsles ved kontakt med en av følgende:</w:t>
      </w:r>
    </w:p>
    <w:p w:rsidR="00F32BB7" w:rsidRPr="009F464B" w:rsidRDefault="00F32BB7" w:rsidP="009F464B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Politiets liaison hos hendelseskommunens kriseledelse</w:t>
      </w:r>
      <w:r w:rsidR="009F464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(når den er satt)</w:t>
      </w:r>
    </w:p>
    <w:p w:rsidR="00F32BB7" w:rsidRDefault="00F32BB7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Politiet «der du bor», </w:t>
      </w:r>
      <w:r>
        <w:rPr>
          <w:rFonts w:ascii="Times New Roman" w:hAnsi="Times New Roman" w:cs="Times New Roman"/>
          <w:b/>
          <w:bCs/>
        </w:rPr>
        <w:t>tlf. 02800</w:t>
      </w:r>
    </w:p>
    <w:p w:rsidR="00F32BB7" w:rsidRDefault="00F32BB7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Politiets nødnummer, </w:t>
      </w:r>
      <w:r>
        <w:rPr>
          <w:rFonts w:ascii="Times New Roman" w:hAnsi="Times New Roman" w:cs="Times New Roman"/>
          <w:b/>
          <w:bCs/>
        </w:rPr>
        <w:t>tlf. 112</w:t>
      </w:r>
    </w:p>
    <w:p w:rsidR="00F32BB7" w:rsidRDefault="00F32BB7">
      <w:pPr>
        <w:pStyle w:val="Overskrif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Varsling av eier/virksomhet hvor EPS tenkes opprettet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Eier/virksomhet hvor EPS tenkes opprettet må varsles så snart beslutning om å opprette EPS er fattet. Politiet og hendelseskommunen avklarer hvem som foretar varslingen. Dersom et kommunalt bygg eller lokale skal benyttes, varsler hendelseskommunen fortrinnsvis om dette selv.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Slikt varsel må omfatte:</w:t>
      </w:r>
    </w:p>
    <w:p w:rsidR="00F32BB7" w:rsidRDefault="00F32BB7">
      <w:pPr>
        <w:pStyle w:val="Listeavsnit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Behov for lokaler og andre fasiliteter</w:t>
      </w:r>
    </w:p>
    <w:p w:rsidR="00F32BB7" w:rsidRDefault="00F32BB7">
      <w:pPr>
        <w:pStyle w:val="Listeavsnit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Når etablering av EPS ønskes påbegynt og når det må være i operativ drift</w:t>
      </w:r>
    </w:p>
    <w:p w:rsidR="00F32BB7" w:rsidRDefault="00F32BB7">
      <w:pPr>
        <w:pStyle w:val="Listeavsnit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Forventet ankomst av de første evakuerte og pårørende samt forventet antall</w:t>
      </w:r>
    </w:p>
    <w:p w:rsidR="00F32BB7" w:rsidRDefault="00F32BB7">
      <w:pPr>
        <w:pStyle w:val="Listeavsnit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Evt. behov for bevertning</w:t>
      </w:r>
    </w:p>
    <w:p w:rsidR="00F32BB7" w:rsidRDefault="00F32BB7">
      <w:pPr>
        <w:pStyle w:val="Listeavsnit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Evt. behov for overnatting</w:t>
      </w:r>
    </w:p>
    <w:p w:rsidR="00F32BB7" w:rsidRDefault="00F32BB7">
      <w:pPr>
        <w:pStyle w:val="Listeavsnit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Om mulig, hvor lenge en forventer å ha behov for EPS</w:t>
      </w:r>
    </w:p>
    <w:p w:rsidR="00F32BB7" w:rsidRDefault="00F32BB7">
      <w:pPr>
        <w:overflowPunct/>
        <w:autoSpaceDE/>
        <w:autoSpaceDN/>
        <w:adjustRightInd/>
        <w:spacing w:line="276" w:lineRule="auto"/>
        <w:textAlignment w:val="auto"/>
        <w:rPr>
          <w:rFonts w:ascii="Cambria" w:hAnsi="Cambria" w:cs="Cambria"/>
          <w:b/>
          <w:bCs/>
          <w:color w:val="365F91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F32BB7" w:rsidRDefault="00F32BB7">
      <w:pPr>
        <w:pStyle w:val="Overskrif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Varslingslister og viktige kontakter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Kommunen og politiet må ha varslingslister knyttet til EPS med navngitte ledere og resurspersoner som er tildelt et ansvar ved opprettelse og drift av EPS – EPS-team.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Disse listene må minst omfatte:</w:t>
      </w:r>
    </w:p>
    <w:p w:rsidR="00F32BB7" w:rsidRDefault="00F32BB7">
      <w:pPr>
        <w:pStyle w:val="Listeavsnit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Kommunen:</w:t>
      </w:r>
    </w:p>
    <w:p w:rsidR="00F32BB7" w:rsidRDefault="00F32BB7">
      <w:pPr>
        <w:pStyle w:val="Listeavsnitt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Leder EPS-K</w:t>
      </w:r>
    </w:p>
    <w:p w:rsidR="00F32BB7" w:rsidRDefault="00F32BB7">
      <w:pPr>
        <w:pStyle w:val="Listeavsnitt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Enhetsleder – evakuertesenter</w:t>
      </w:r>
    </w:p>
    <w:p w:rsidR="00F32BB7" w:rsidRDefault="00F32BB7">
      <w:pPr>
        <w:pStyle w:val="Listeavsnitt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Enhetsleder – pårørendesenter</w:t>
      </w:r>
    </w:p>
    <w:p w:rsidR="00F32BB7" w:rsidRDefault="00F32BB7">
      <w:pPr>
        <w:pStyle w:val="Listeavsnitt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Psykososialt kriseteam (PKT)</w:t>
      </w:r>
    </w:p>
    <w:p w:rsidR="00F32BB7" w:rsidRDefault="00F32BB7">
      <w:pPr>
        <w:pStyle w:val="Listeavsnit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Politiet:</w:t>
      </w:r>
    </w:p>
    <w:p w:rsidR="00F32BB7" w:rsidRDefault="00F32BB7">
      <w:pPr>
        <w:pStyle w:val="Listeavsnitt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Leder EPS-P</w:t>
      </w:r>
    </w:p>
    <w:p w:rsidR="00F32BB7" w:rsidRDefault="00F32BB7">
      <w:pPr>
        <w:pStyle w:val="Listeavsnitt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Enhetsleder – mottak og registrering</w:t>
      </w:r>
    </w:p>
    <w:p w:rsidR="00F32BB7" w:rsidRDefault="00F32BB7">
      <w:pPr>
        <w:pStyle w:val="Listeavsnitt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Enhetsleder – vakthold og sikring</w:t>
      </w:r>
    </w:p>
    <w:p w:rsidR="00F32BB7" w:rsidRDefault="00F32BB7">
      <w:pPr>
        <w:pStyle w:val="Listeavsnitt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Enhetsleder – informasjon</w:t>
      </w:r>
    </w:p>
    <w:p w:rsidR="00F32BB7" w:rsidRDefault="00F32BB7">
      <w:pPr>
        <w:pStyle w:val="Listeavsnitt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Psykososialt kriseteam (PKT)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Utover dette må kommunens og politiets varslingslister omfatte øvrige ressurspersoner som er tenkt knyttet til EPS-teamet, se også Vedlegg 2. Ressurslister.</w:t>
      </w:r>
    </w:p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kommunene og politiet bør i sine varslingslister ha hverandres kontaktinformasjon på personer som på bistandsanmodning har myndighet til å avgi personell til bistand i hendelseskommunen.</w:t>
      </w:r>
    </w:p>
    <w:sectPr w:rsidR="00F32BB7" w:rsidSect="00F32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AD" w:rsidRDefault="00E142A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3" w:type="dxa"/>
      <w:tblInd w:w="-6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662"/>
      <w:gridCol w:w="1843"/>
    </w:tblGrid>
    <w:tr w:rsidR="00F32BB7">
      <w:trPr>
        <w:cantSplit/>
      </w:trPr>
      <w:tc>
        <w:tcPr>
          <w:tcW w:w="14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32BB7" w:rsidRDefault="00F32BB7">
          <w:pPr>
            <w:pStyle w:val="Bunntekst"/>
            <w:rPr>
              <w:rFonts w:ascii="Verdana" w:hAnsi="Verdana" w:cs="Verdana"/>
              <w:sz w:val="20"/>
              <w:szCs w:val="20"/>
            </w:rPr>
          </w:pPr>
          <w:r>
            <w:rPr>
              <w:rFonts w:ascii="Verdana" w:hAnsi="Verdana" w:cs="Verdana"/>
              <w:sz w:val="20"/>
              <w:szCs w:val="20"/>
            </w:rPr>
            <w:t>1.3.2015</w:t>
          </w:r>
        </w:p>
      </w:tc>
      <w:tc>
        <w:tcPr>
          <w:tcW w:w="666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32BB7" w:rsidRDefault="00F32BB7">
          <w:pPr>
            <w:pStyle w:val="Bunntekst"/>
            <w:jc w:val="center"/>
            <w:rPr>
              <w:rFonts w:ascii="Verdana" w:hAnsi="Verdana" w:cs="Verdana"/>
              <w:sz w:val="20"/>
              <w:szCs w:val="20"/>
            </w:rPr>
          </w:pPr>
          <w:r>
            <w:rPr>
              <w:rFonts w:ascii="Verdana" w:hAnsi="Verdana" w:cs="Verdana"/>
              <w:sz w:val="20"/>
              <w:szCs w:val="20"/>
            </w:rPr>
            <w:t>Fell</w:t>
          </w:r>
          <w:r w:rsidR="00E142AD">
            <w:rPr>
              <w:rFonts w:ascii="Verdana" w:hAnsi="Verdana" w:cs="Verdana"/>
              <w:sz w:val="20"/>
              <w:szCs w:val="20"/>
            </w:rPr>
            <w:t>es plan for EPS i Innlandet</w:t>
          </w:r>
          <w:r>
            <w:rPr>
              <w:rFonts w:ascii="Verdana" w:hAnsi="Verdana" w:cs="Verdana"/>
              <w:sz w:val="20"/>
              <w:szCs w:val="20"/>
            </w:rPr>
            <w:t xml:space="preserve"> - Varslingsplan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32BB7" w:rsidRDefault="00F32BB7">
          <w:pPr>
            <w:pStyle w:val="Bunntekst"/>
            <w:jc w:val="right"/>
            <w:rPr>
              <w:rFonts w:ascii="Verdana" w:hAnsi="Verdana" w:cs="Verdana"/>
              <w:sz w:val="20"/>
              <w:szCs w:val="20"/>
            </w:rPr>
          </w:pPr>
          <w:r>
            <w:rPr>
              <w:rFonts w:ascii="Verdana" w:hAnsi="Verdana" w:cs="Verdana"/>
              <w:sz w:val="20"/>
              <w:szCs w:val="20"/>
            </w:rPr>
            <w:t xml:space="preserve">Side </w:t>
          </w:r>
          <w:r>
            <w:rPr>
              <w:rStyle w:val="Sidetall"/>
              <w:rFonts w:ascii="Verdana" w:hAnsi="Verdana" w:cs="Verdana"/>
              <w:sz w:val="20"/>
              <w:szCs w:val="20"/>
            </w:rPr>
            <w:fldChar w:fldCharType="begin"/>
          </w:r>
          <w:r>
            <w:rPr>
              <w:rStyle w:val="Sidetall"/>
              <w:rFonts w:ascii="Verdana" w:hAnsi="Verdana" w:cs="Verdana"/>
              <w:sz w:val="20"/>
              <w:szCs w:val="20"/>
            </w:rPr>
            <w:instrText xml:space="preserve"> PAGE </w:instrText>
          </w:r>
          <w:r>
            <w:rPr>
              <w:rStyle w:val="Sidetall"/>
              <w:rFonts w:ascii="Verdana" w:hAnsi="Verdana" w:cs="Verdana"/>
              <w:sz w:val="20"/>
              <w:szCs w:val="20"/>
            </w:rPr>
            <w:fldChar w:fldCharType="separate"/>
          </w:r>
          <w:r w:rsidR="00E142AD">
            <w:rPr>
              <w:rStyle w:val="Sidetall"/>
              <w:rFonts w:ascii="Verdana" w:hAnsi="Verdana" w:cs="Verdana"/>
              <w:noProof/>
              <w:sz w:val="20"/>
              <w:szCs w:val="20"/>
            </w:rPr>
            <w:t>1</w:t>
          </w:r>
          <w:r>
            <w:rPr>
              <w:rStyle w:val="Sidetall"/>
              <w:rFonts w:ascii="Verdana" w:hAnsi="Verdana" w:cs="Verdana"/>
              <w:sz w:val="20"/>
              <w:szCs w:val="20"/>
            </w:rPr>
            <w:fldChar w:fldCharType="end"/>
          </w:r>
          <w:r>
            <w:rPr>
              <w:rStyle w:val="Sidetall"/>
              <w:rFonts w:ascii="Verdana" w:hAnsi="Verdana" w:cs="Verdana"/>
              <w:sz w:val="20"/>
              <w:szCs w:val="20"/>
            </w:rPr>
            <w:t xml:space="preserve"> av </w:t>
          </w:r>
          <w:r>
            <w:rPr>
              <w:rStyle w:val="Sidetall"/>
              <w:rFonts w:ascii="Verdana" w:hAnsi="Verdana" w:cs="Verdana"/>
              <w:sz w:val="20"/>
              <w:szCs w:val="20"/>
            </w:rPr>
            <w:fldChar w:fldCharType="begin"/>
          </w:r>
          <w:r>
            <w:rPr>
              <w:rStyle w:val="Sidetall"/>
              <w:rFonts w:ascii="Verdana" w:hAnsi="Verdana" w:cs="Verdana"/>
              <w:sz w:val="20"/>
              <w:szCs w:val="20"/>
            </w:rPr>
            <w:instrText xml:space="preserve"> NUMPAGES </w:instrText>
          </w:r>
          <w:r>
            <w:rPr>
              <w:rStyle w:val="Sidetall"/>
              <w:rFonts w:ascii="Verdana" w:hAnsi="Verdana" w:cs="Verdana"/>
              <w:sz w:val="20"/>
              <w:szCs w:val="20"/>
            </w:rPr>
            <w:fldChar w:fldCharType="separate"/>
          </w:r>
          <w:r w:rsidR="00E142AD">
            <w:rPr>
              <w:rStyle w:val="Sidetall"/>
              <w:rFonts w:ascii="Verdana" w:hAnsi="Verdana" w:cs="Verdana"/>
              <w:noProof/>
              <w:sz w:val="20"/>
              <w:szCs w:val="20"/>
            </w:rPr>
            <w:t>4</w:t>
          </w:r>
          <w:r>
            <w:rPr>
              <w:rStyle w:val="Sidetall"/>
              <w:rFonts w:ascii="Verdana" w:hAnsi="Verdana" w:cs="Verdana"/>
              <w:sz w:val="20"/>
              <w:szCs w:val="20"/>
            </w:rPr>
            <w:fldChar w:fldCharType="end"/>
          </w:r>
        </w:p>
      </w:tc>
    </w:tr>
  </w:tbl>
  <w:p w:rsidR="00F32BB7" w:rsidRDefault="00E142AD" w:rsidP="00E142AD">
    <w:pPr>
      <w:pStyle w:val="Bunntekst"/>
      <w:tabs>
        <w:tab w:val="clear" w:pos="4536"/>
        <w:tab w:val="clear" w:pos="9072"/>
        <w:tab w:val="left" w:pos="627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AD" w:rsidRDefault="00E142A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32BB7" w:rsidRDefault="00F3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AD" w:rsidRDefault="00E142A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BB7" w:rsidRDefault="00F32BB7">
    <w:pPr>
      <w:pStyle w:val="Toppteks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:rsidR="00F32BB7" w:rsidRDefault="00F32BB7">
    <w:pPr>
      <w:pStyle w:val="Toppteks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AD" w:rsidRDefault="00E142A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97E42C"/>
    <w:multiLevelType w:val="hybridMultilevel"/>
    <w:tmpl w:val="2BB1CEB2"/>
    <w:lvl w:ilvl="0" w:tplc="FFFFFFFF">
      <w:start w:val="1"/>
      <w:numFmt w:val="decim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725464F"/>
    <w:multiLevelType w:val="hybridMultilevel"/>
    <w:tmpl w:val="0792C1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332449"/>
    <w:multiLevelType w:val="hybridMultilevel"/>
    <w:tmpl w:val="694AC1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A47302"/>
    <w:multiLevelType w:val="hybridMultilevel"/>
    <w:tmpl w:val="9A9869B8"/>
    <w:lvl w:ilvl="0" w:tplc="0414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A3E4504"/>
    <w:multiLevelType w:val="hybridMultilevel"/>
    <w:tmpl w:val="C2D87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1C020F"/>
    <w:multiLevelType w:val="multilevel"/>
    <w:tmpl w:val="33E2BD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9767452"/>
    <w:multiLevelType w:val="multilevel"/>
    <w:tmpl w:val="161E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1E211D5"/>
    <w:multiLevelType w:val="multilevel"/>
    <w:tmpl w:val="D9D41C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AA5181C"/>
    <w:multiLevelType w:val="hybridMultilevel"/>
    <w:tmpl w:val="645A5C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F252F3"/>
    <w:multiLevelType w:val="hybridMultilevel"/>
    <w:tmpl w:val="E5E4FADE"/>
    <w:lvl w:ilvl="0" w:tplc="90987EE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B7"/>
    <w:rsid w:val="008709C0"/>
    <w:rsid w:val="009F464B"/>
    <w:rsid w:val="00E142AD"/>
    <w:rsid w:val="00F3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1988D753-0164-4595-A72F-78DDEF56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00"/>
      <w:textAlignment w:val="baseline"/>
    </w:pPr>
    <w:rPr>
      <w:rFonts w:ascii="Calibri" w:hAnsi="Calibri" w:cs="Calibr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keepLines/>
      <w:spacing w:before="240" w:after="6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keepLines/>
      <w:spacing w:before="240" w:after="60"/>
      <w:outlineLvl w:val="1"/>
    </w:pPr>
    <w:rPr>
      <w:rFonts w:ascii="Cambria" w:hAnsi="Cambria" w:cs="Cambria"/>
      <w:b/>
      <w:bCs/>
      <w:color w:val="365F9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Pr>
      <w:rFonts w:ascii="Cambria" w:hAnsi="Cambria" w:cs="Cambria"/>
      <w:b/>
      <w:bCs/>
      <w:color w:val="365F91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9"/>
    <w:rPr>
      <w:rFonts w:ascii="Cambria" w:hAnsi="Cambria" w:cs="Cambria"/>
      <w:b/>
      <w:bCs/>
      <w:color w:val="365F91"/>
      <w:sz w:val="26"/>
      <w:szCs w:val="26"/>
      <w:lang w:eastAsia="nb-NO"/>
    </w:rPr>
  </w:style>
  <w:style w:type="paragraph" w:styleId="Tittel">
    <w:name w:val="Title"/>
    <w:basedOn w:val="Normal"/>
    <w:link w:val="TittelTegn"/>
    <w:uiPriority w:val="99"/>
    <w:qFormat/>
    <w:pPr>
      <w:pBdr>
        <w:bottom w:val="single" w:sz="4" w:space="1" w:color="auto"/>
      </w:pBdr>
      <w:overflowPunct/>
      <w:autoSpaceDE/>
      <w:autoSpaceDN/>
      <w:adjustRightInd/>
      <w:textAlignment w:val="auto"/>
    </w:pPr>
    <w:rPr>
      <w:rFonts w:ascii="Cambria" w:hAnsi="Cambria" w:cs="Cambria"/>
      <w:b/>
      <w:bCs/>
      <w:color w:val="17365D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rPr>
      <w:rFonts w:ascii="Cambria" w:hAnsi="Cambria" w:cs="Cambria"/>
      <w:b/>
      <w:bCs/>
      <w:color w:val="17365D"/>
      <w:sz w:val="20"/>
      <w:szCs w:val="20"/>
      <w:lang w:eastAsia="nb-NO"/>
    </w:rPr>
  </w:style>
  <w:style w:type="paragraph" w:styleId="Undertittel">
    <w:name w:val="Subtitle"/>
    <w:basedOn w:val="Normal"/>
    <w:next w:val="Normal"/>
    <w:link w:val="UndertittelTegn"/>
    <w:uiPriority w:val="99"/>
    <w:qFormat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99"/>
    <w:rPr>
      <w:rFonts w:ascii="Cambria" w:hAnsi="Cambria" w:cs="Cambria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uiPriority w:val="99"/>
    <w:qFormat/>
    <w:pPr>
      <w:ind w:left="720"/>
    </w:p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Pr>
      <w:rFonts w:ascii="Trebuchet MS" w:hAnsi="Trebuchet MS" w:cs="Trebuchet MS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Pr>
      <w:rFonts w:ascii="Trebuchet MS" w:hAnsi="Trebuchet MS" w:cs="Trebuchet MS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rPr>
      <w:rFonts w:ascii="Tahoma" w:hAnsi="Tahoma" w:cs="Tahoma"/>
      <w:sz w:val="16"/>
      <w:szCs w:val="16"/>
      <w:lang w:eastAsia="nb-NO"/>
    </w:rPr>
  </w:style>
  <w:style w:type="character" w:styleId="Sidetall">
    <w:name w:val="page number"/>
    <w:basedOn w:val="Standardskriftforavsnit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 1</vt:lpstr>
    </vt:vector>
  </TitlesOfParts>
  <Company>Politiet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1</dc:title>
  <dc:subject/>
  <dc:creator>Bjørn Vegar Kjelsrud</dc:creator>
  <cp:keywords/>
  <dc:description/>
  <cp:lastModifiedBy>Øyvind Finnekåsa Aaboen</cp:lastModifiedBy>
  <cp:revision>2</cp:revision>
  <cp:lastPrinted>2014-09-22T06:00:00Z</cp:lastPrinted>
  <dcterms:created xsi:type="dcterms:W3CDTF">2022-09-16T12:27:00Z</dcterms:created>
  <dcterms:modified xsi:type="dcterms:W3CDTF">2022-09-16T12:27:00Z</dcterms:modified>
</cp:coreProperties>
</file>