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81F" w:rsidRPr="004D581F" w:rsidRDefault="004D581F">
      <w:pPr>
        <w:rPr>
          <w:rFonts w:ascii="Times New Roman" w:eastAsia="Times New Roman" w:hAnsi="Times New Roman" w:cs="Times New Roman"/>
          <w:sz w:val="18"/>
          <w:szCs w:val="18"/>
        </w:rPr>
      </w:pPr>
    </w:p>
    <w:p w:rsidR="004D581F" w:rsidRPr="004D581F" w:rsidRDefault="004D581F">
      <w:pPr>
        <w:rPr>
          <w:rFonts w:ascii="Times New Roman" w:eastAsia="Times New Roman" w:hAnsi="Times New Roman" w:cs="Times New Roman"/>
          <w:sz w:val="18"/>
          <w:szCs w:val="18"/>
        </w:rPr>
        <w:sectPr w:rsidR="004D581F" w:rsidRPr="004D581F" w:rsidSect="00F91F32">
          <w:headerReference w:type="default" r:id="rId8"/>
          <w:footerReference w:type="default" r:id="rId9"/>
          <w:type w:val="continuous"/>
          <w:pgSz w:w="11910" w:h="16840" w:code="9"/>
          <w:pgMar w:top="822" w:right="193" w:bottom="686" w:left="454" w:header="142" w:footer="709" w:gutter="340"/>
          <w:cols w:space="708"/>
          <w:docGrid w:linePitch="299"/>
        </w:sectPr>
      </w:pPr>
    </w:p>
    <w:p w:rsidR="004D581F" w:rsidRPr="004D581F" w:rsidRDefault="004D581F" w:rsidP="00377307">
      <w:pPr>
        <w:spacing w:before="100" w:beforeAutospacing="1" w:after="100" w:afterAutospacing="1"/>
        <w:jc w:val="center"/>
        <w:rPr>
          <w:rFonts w:ascii="Calibri" w:eastAsia="Calibri" w:hAnsi="Calibri" w:cs="Calibri"/>
          <w:sz w:val="18"/>
          <w:szCs w:val="18"/>
        </w:rPr>
      </w:pPr>
      <w:r w:rsidRPr="004D581F">
        <w:rPr>
          <w:b/>
          <w:bCs/>
          <w:caps/>
          <w:color w:val="4C0024"/>
          <w:sz w:val="44"/>
          <w:szCs w:val="44"/>
          <w:lang w:eastAsia="nb-NO"/>
        </w:rPr>
        <w:lastRenderedPageBreak/>
        <w:t>kommunereforma</w:t>
      </w:r>
      <w:r w:rsidRPr="004D581F">
        <w:rPr>
          <w:b/>
          <w:bCs/>
          <w:caps/>
          <w:color w:val="4C0024"/>
          <w:sz w:val="44"/>
          <w:szCs w:val="44"/>
          <w:lang w:eastAsia="nb-NO"/>
        </w:rPr>
        <w:t xml:space="preserve"> - </w:t>
      </w:r>
      <w:r w:rsidRPr="004D581F">
        <w:rPr>
          <w:b/>
          <w:bCs/>
          <w:caps/>
          <w:color w:val="4C0024"/>
          <w:sz w:val="44"/>
          <w:szCs w:val="44"/>
          <w:lang w:eastAsia="nb-NO"/>
        </w:rPr>
        <w:t>NYHENDE NR. 5 – oktober 2015</w:t>
      </w:r>
    </w:p>
    <w:p w:rsidR="004D581F" w:rsidRPr="004D581F" w:rsidRDefault="004D581F">
      <w:pPr>
        <w:rPr>
          <w:rFonts w:ascii="Calibri" w:eastAsia="Calibri" w:hAnsi="Calibri" w:cs="Calibri"/>
          <w:sz w:val="18"/>
          <w:szCs w:val="18"/>
        </w:rPr>
        <w:sectPr w:rsidR="004D581F" w:rsidRPr="004D581F">
          <w:type w:val="continuous"/>
          <w:pgSz w:w="11910" w:h="16840"/>
          <w:pgMar w:top="820" w:right="0" w:bottom="0" w:left="0" w:header="708" w:footer="708" w:gutter="0"/>
          <w:cols w:space="708"/>
        </w:sectPr>
      </w:pPr>
    </w:p>
    <w:p w:rsidR="004D581F" w:rsidRPr="004D581F" w:rsidRDefault="004D581F" w:rsidP="004D581F">
      <w:pPr>
        <w:spacing w:before="100" w:beforeAutospacing="1" w:after="100" w:afterAutospacing="1"/>
        <w:rPr>
          <w:b/>
          <w:bCs/>
          <w:caps/>
          <w:color w:val="4C0024"/>
          <w:sz w:val="28"/>
          <w:szCs w:val="28"/>
          <w:lang w:eastAsia="nb-NO"/>
        </w:rPr>
      </w:pPr>
      <w:r w:rsidRPr="004D581F">
        <w:rPr>
          <w:b/>
          <w:bCs/>
          <w:caps/>
          <w:color w:val="4C0024"/>
          <w:sz w:val="28"/>
          <w:szCs w:val="28"/>
          <w:lang w:eastAsia="nb-NO"/>
        </w:rPr>
        <w:lastRenderedPageBreak/>
        <w:t xml:space="preserve">brev frå statsråd jan tore sanner </w:t>
      </w:r>
    </w:p>
    <w:p w:rsidR="004D581F" w:rsidRPr="004D581F" w:rsidRDefault="004D581F" w:rsidP="004D581F">
      <w:pPr>
        <w:spacing w:before="100" w:beforeAutospacing="1" w:after="100" w:afterAutospacing="1"/>
        <w:rPr>
          <w:b/>
          <w:bCs/>
          <w:caps/>
          <w:color w:val="4C0024"/>
          <w:sz w:val="27"/>
          <w:szCs w:val="27"/>
          <w:lang w:eastAsia="nb-NO"/>
        </w:rPr>
      </w:pPr>
      <w:r w:rsidRPr="004D581F">
        <w:rPr>
          <w:sz w:val="24"/>
          <w:szCs w:val="24"/>
          <w:lang w:eastAsia="nb-NO"/>
        </w:rPr>
        <w:t xml:space="preserve">Statsråd Jan Tore Sanner har sendt </w:t>
      </w:r>
      <w:hyperlink r:id="rId10" w:history="1">
        <w:r w:rsidRPr="004D581F">
          <w:rPr>
            <w:rStyle w:val="Hyperkobling"/>
            <w:sz w:val="24"/>
            <w:szCs w:val="24"/>
            <w:lang w:eastAsia="nb-NO"/>
          </w:rPr>
          <w:t>brev</w:t>
        </w:r>
      </w:hyperlink>
      <w:r w:rsidRPr="004D581F">
        <w:rPr>
          <w:sz w:val="24"/>
          <w:szCs w:val="24"/>
          <w:lang w:eastAsia="nb-NO"/>
        </w:rPr>
        <w:t xml:space="preserve"> til alle kommunestyra i landet med informasjon om det vidare arbeidet med kommunereforma. Brevet er særleg nyttig for dei nye folkevalte som no skal bli involvert i prosessen. </w:t>
      </w:r>
    </w:p>
    <w:p w:rsidR="004D581F" w:rsidRPr="004D581F" w:rsidRDefault="004D581F" w:rsidP="004D581F">
      <w:pPr>
        <w:spacing w:before="100" w:beforeAutospacing="1" w:after="120"/>
        <w:rPr>
          <w:b/>
          <w:bCs/>
          <w:caps/>
          <w:color w:val="4C0024"/>
          <w:sz w:val="28"/>
          <w:szCs w:val="28"/>
          <w:lang w:eastAsia="nb-NO"/>
        </w:rPr>
      </w:pPr>
      <w:r w:rsidRPr="004D581F">
        <w:rPr>
          <w:b/>
          <w:bCs/>
          <w:caps/>
          <w:color w:val="4C0024"/>
          <w:sz w:val="28"/>
          <w:szCs w:val="28"/>
          <w:lang w:eastAsia="nb-NO"/>
        </w:rPr>
        <w:t>framdrifta med kommunereforma</w:t>
      </w:r>
    </w:p>
    <w:p w:rsidR="004D581F" w:rsidRPr="004D581F" w:rsidRDefault="004D581F" w:rsidP="004D581F">
      <w:pPr>
        <w:rPr>
          <w:color w:val="666666"/>
          <w:sz w:val="24"/>
          <w:szCs w:val="24"/>
          <w:lang w:eastAsia="nb-NO"/>
        </w:rPr>
      </w:pPr>
      <w:r w:rsidRPr="004D581F">
        <w:rPr>
          <w:sz w:val="24"/>
          <w:szCs w:val="24"/>
          <w:lang w:eastAsia="nb-NO"/>
        </w:rPr>
        <w:t xml:space="preserve">I Nyhende nr. 4 omtala vi forslag til </w:t>
      </w:r>
      <w:hyperlink r:id="rId11" w:history="1">
        <w:r w:rsidRPr="004D581F">
          <w:rPr>
            <w:rStyle w:val="Hyperkobling"/>
            <w:sz w:val="24"/>
            <w:szCs w:val="24"/>
            <w:lang w:eastAsia="nb-NO"/>
          </w:rPr>
          <w:t>milepælsplan.</w:t>
        </w:r>
      </w:hyperlink>
      <w:r w:rsidRPr="004D581F">
        <w:rPr>
          <w:sz w:val="24"/>
          <w:szCs w:val="24"/>
          <w:lang w:eastAsia="nb-NO"/>
        </w:rPr>
        <w:t xml:space="preserve"> På kontaktpersonsamlinga 29. september var det semje mellom kommunane, regionråda og Fylkesmannen at det var nyttig for alle partar å ha </w:t>
      </w:r>
      <w:r w:rsidRPr="004D581F">
        <w:rPr>
          <w:b/>
          <w:bCs/>
          <w:sz w:val="24"/>
          <w:szCs w:val="24"/>
          <w:lang w:eastAsia="nb-NO"/>
        </w:rPr>
        <w:t>«ein siste frist»</w:t>
      </w:r>
      <w:r w:rsidRPr="004D581F">
        <w:rPr>
          <w:sz w:val="24"/>
          <w:szCs w:val="24"/>
          <w:lang w:eastAsia="nb-NO"/>
        </w:rPr>
        <w:t xml:space="preserve"> plan for arbeidet med kommunereforma frametter. Nabokommunar vurderer å gjennomføre innbyggarhøyring og/eller folkerøysting på same dato eller i same tidsrom. </w:t>
      </w:r>
    </w:p>
    <w:p w:rsidR="004D581F" w:rsidRPr="004D581F" w:rsidRDefault="004D581F" w:rsidP="004D581F">
      <w:pPr>
        <w:spacing w:before="100" w:beforeAutospacing="1" w:after="120"/>
        <w:rPr>
          <w:b/>
          <w:bCs/>
          <w:caps/>
          <w:color w:val="4C0024"/>
          <w:sz w:val="28"/>
          <w:szCs w:val="28"/>
          <w:lang w:eastAsia="nb-NO"/>
        </w:rPr>
      </w:pPr>
      <w:r w:rsidRPr="004D581F">
        <w:rPr>
          <w:b/>
          <w:bCs/>
          <w:caps/>
          <w:color w:val="4C0024"/>
          <w:sz w:val="28"/>
          <w:szCs w:val="28"/>
          <w:lang w:eastAsia="nb-NO"/>
        </w:rPr>
        <w:t>OPPHØR AV INTERKOMMUNALT SAMARBEID</w:t>
      </w:r>
    </w:p>
    <w:p w:rsidR="004D581F" w:rsidRPr="004D581F" w:rsidRDefault="004D581F" w:rsidP="004D581F">
      <w:pPr>
        <w:rPr>
          <w:sz w:val="24"/>
          <w:szCs w:val="24"/>
        </w:rPr>
      </w:pPr>
      <w:r w:rsidRPr="004D581F">
        <w:rPr>
          <w:sz w:val="24"/>
          <w:szCs w:val="24"/>
        </w:rPr>
        <w:t xml:space="preserve">Mellom kommunane i Møre og Romsdal er det etablert ei rekke interkommunale samarbeid. Fylkesmannen vil i løpet av </w:t>
      </w:r>
      <w:r w:rsidRPr="004D581F">
        <w:rPr>
          <w:b/>
          <w:sz w:val="24"/>
          <w:szCs w:val="24"/>
        </w:rPr>
        <w:t>november 2015 sende ut eit brev til kommunane som gjev rettleiing på temaet «opphør av interkommunalt samarbeid».</w:t>
      </w:r>
      <w:r w:rsidRPr="004D581F">
        <w:rPr>
          <w:sz w:val="24"/>
          <w:szCs w:val="24"/>
        </w:rPr>
        <w:t xml:space="preserve"> Dette vil også vere tema på ordførarsamlinga den 11.  november 2015.</w:t>
      </w:r>
    </w:p>
    <w:p w:rsidR="004D581F" w:rsidRPr="004D581F" w:rsidRDefault="004D581F" w:rsidP="004D581F">
      <w:pPr>
        <w:rPr>
          <w:sz w:val="24"/>
          <w:szCs w:val="24"/>
        </w:rPr>
      </w:pPr>
    </w:p>
    <w:p w:rsidR="004D581F" w:rsidRPr="004D581F" w:rsidRDefault="004D581F" w:rsidP="004D581F">
      <w:pPr>
        <w:rPr>
          <w:sz w:val="24"/>
          <w:szCs w:val="24"/>
        </w:rPr>
      </w:pPr>
      <w:r w:rsidRPr="004D581F">
        <w:rPr>
          <w:sz w:val="24"/>
          <w:szCs w:val="24"/>
        </w:rPr>
        <w:t xml:space="preserve">I samband med kommunereforma vil det vere nyttig for kommunane å gå gjennom dei ulike interkommunale samarbeida dei er med i. Kommunane bør i prosessane frametter vurdere behovet for interkommunalt </w:t>
      </w:r>
      <w:r w:rsidRPr="004D581F">
        <w:rPr>
          <w:sz w:val="24"/>
          <w:szCs w:val="24"/>
        </w:rPr>
        <w:lastRenderedPageBreak/>
        <w:t xml:space="preserve">samarbeid ut i frå korleis den nye kommunen vil sjå ut. </w:t>
      </w:r>
    </w:p>
    <w:p w:rsidR="004D581F" w:rsidRPr="004D581F" w:rsidRDefault="004D581F" w:rsidP="004D581F">
      <w:pPr>
        <w:spacing w:before="100" w:beforeAutospacing="1" w:after="120"/>
        <w:rPr>
          <w:b/>
          <w:bCs/>
          <w:caps/>
          <w:color w:val="4C0024"/>
          <w:sz w:val="28"/>
          <w:szCs w:val="28"/>
          <w:lang w:eastAsia="nb-NO"/>
        </w:rPr>
      </w:pPr>
      <w:r w:rsidRPr="004D581F">
        <w:rPr>
          <w:b/>
          <w:bCs/>
          <w:caps/>
          <w:color w:val="4C0024"/>
          <w:sz w:val="28"/>
          <w:szCs w:val="28"/>
          <w:lang w:eastAsia="nb-NO"/>
        </w:rPr>
        <w:t>det nye inntekstssyemET</w:t>
      </w:r>
    </w:p>
    <w:p w:rsidR="004D581F" w:rsidRPr="004D581F" w:rsidRDefault="004D581F" w:rsidP="004D581F">
      <w:pPr>
        <w:rPr>
          <w:sz w:val="24"/>
          <w:szCs w:val="24"/>
        </w:rPr>
      </w:pPr>
      <w:r w:rsidRPr="004D581F">
        <w:rPr>
          <w:sz w:val="24"/>
          <w:szCs w:val="24"/>
        </w:rPr>
        <w:t>Kommunal- og moderniserings</w:t>
      </w:r>
      <w:r w:rsidR="00377307">
        <w:rPr>
          <w:sz w:val="24"/>
          <w:szCs w:val="24"/>
        </w:rPr>
        <w:t>-</w:t>
      </w:r>
      <w:r w:rsidRPr="004D581F">
        <w:rPr>
          <w:sz w:val="24"/>
          <w:szCs w:val="24"/>
        </w:rPr>
        <w:t>departementet har varsla at det nye inntektssystemet som skal gjelde frå 2017 kjem på høyring til kommunane før jul.</w:t>
      </w:r>
    </w:p>
    <w:p w:rsidR="004D581F" w:rsidRPr="004D581F" w:rsidRDefault="004D581F" w:rsidP="004D581F">
      <w:pPr>
        <w:spacing w:before="100" w:beforeAutospacing="1" w:after="120"/>
        <w:rPr>
          <w:b/>
          <w:bCs/>
          <w:caps/>
          <w:color w:val="4C0024"/>
          <w:sz w:val="28"/>
          <w:szCs w:val="28"/>
          <w:lang w:eastAsia="nb-NO"/>
        </w:rPr>
      </w:pPr>
      <w:r w:rsidRPr="004D581F">
        <w:rPr>
          <w:b/>
          <w:bCs/>
          <w:caps/>
          <w:color w:val="4C0024"/>
          <w:sz w:val="28"/>
          <w:szCs w:val="28"/>
          <w:lang w:eastAsia="nb-NO"/>
        </w:rPr>
        <w:t>KVA HENDER FRAMOVER</w:t>
      </w:r>
    </w:p>
    <w:p w:rsidR="004D581F" w:rsidRPr="00377307" w:rsidRDefault="004D581F" w:rsidP="00377307">
      <w:pPr>
        <w:widowControl/>
        <w:spacing w:after="120"/>
        <w:rPr>
          <w:b/>
          <w:bCs/>
          <w:sz w:val="24"/>
          <w:szCs w:val="24"/>
          <w:lang w:eastAsia="nb-NO"/>
        </w:rPr>
      </w:pPr>
      <w:r w:rsidRPr="00377307">
        <w:rPr>
          <w:b/>
          <w:bCs/>
          <w:color w:val="FF0000"/>
          <w:sz w:val="24"/>
          <w:szCs w:val="24"/>
          <w:lang w:eastAsia="nb-NO"/>
        </w:rPr>
        <w:t>6. nov. 2015 – Scandic Seilet hotell, Molde</w:t>
      </w:r>
    </w:p>
    <w:p w:rsidR="004D581F" w:rsidRDefault="004D581F" w:rsidP="004D581F">
      <w:pPr>
        <w:rPr>
          <w:b/>
          <w:bCs/>
          <w:sz w:val="24"/>
          <w:szCs w:val="24"/>
        </w:rPr>
      </w:pPr>
      <w:r w:rsidRPr="004D581F">
        <w:rPr>
          <w:sz w:val="24"/>
          <w:szCs w:val="24"/>
          <w:lang w:eastAsia="nb-NO"/>
        </w:rPr>
        <w:t xml:space="preserve">Fylkesmannen og KS arrangerer </w:t>
      </w:r>
      <w:hyperlink r:id="rId12" w:history="1">
        <w:r w:rsidRPr="00377307">
          <w:rPr>
            <w:rStyle w:val="Hyperkobling"/>
            <w:sz w:val="24"/>
            <w:szCs w:val="24"/>
          </w:rPr>
          <w:t>kurs</w:t>
        </w:r>
      </w:hyperlink>
      <w:r w:rsidRPr="004D581F">
        <w:rPr>
          <w:sz w:val="24"/>
          <w:szCs w:val="24"/>
        </w:rPr>
        <w:t xml:space="preserve"> i</w:t>
      </w:r>
      <w:r w:rsidRPr="004D581F">
        <w:rPr>
          <w:b/>
          <w:bCs/>
          <w:sz w:val="24"/>
          <w:szCs w:val="24"/>
        </w:rPr>
        <w:t xml:space="preserve"> scenarier som metode for å forstå framtida. </w:t>
      </w:r>
    </w:p>
    <w:p w:rsidR="00377307" w:rsidRPr="004D581F" w:rsidRDefault="00377307" w:rsidP="004D581F">
      <w:pPr>
        <w:rPr>
          <w:b/>
          <w:bCs/>
          <w:sz w:val="24"/>
          <w:szCs w:val="24"/>
        </w:rPr>
      </w:pPr>
    </w:p>
    <w:p w:rsidR="004D581F" w:rsidRPr="004D581F" w:rsidRDefault="004D581F" w:rsidP="00377307">
      <w:pPr>
        <w:widowControl/>
        <w:spacing w:after="120"/>
      </w:pPr>
      <w:r w:rsidRPr="00377307">
        <w:rPr>
          <w:b/>
          <w:bCs/>
          <w:color w:val="FF0000"/>
          <w:sz w:val="24"/>
          <w:szCs w:val="24"/>
          <w:lang w:eastAsia="nb-NO"/>
        </w:rPr>
        <w:t xml:space="preserve">11. og 12. nov. 2015 – Alexandra hotell, Molde </w:t>
      </w:r>
      <w:r w:rsidR="00377307">
        <w:rPr>
          <w:b/>
          <w:bCs/>
          <w:color w:val="FF0000"/>
          <w:sz w:val="24"/>
          <w:szCs w:val="24"/>
          <w:lang w:eastAsia="nb-NO"/>
        </w:rPr>
        <w:br/>
      </w:r>
      <w:r w:rsidRPr="004D581F">
        <w:rPr>
          <w:sz w:val="24"/>
          <w:szCs w:val="24"/>
          <w:lang w:eastAsia="nb-NO"/>
        </w:rPr>
        <w:t xml:space="preserve">Fylkesmannen arrangerer </w:t>
      </w:r>
      <w:hyperlink r:id="rId13" w:history="1">
        <w:r w:rsidRPr="00377307">
          <w:rPr>
            <w:rStyle w:val="Hyperkobling"/>
            <w:sz w:val="24"/>
            <w:szCs w:val="24"/>
            <w:lang w:eastAsia="nb-NO"/>
          </w:rPr>
          <w:t>samling</w:t>
        </w:r>
      </w:hyperlink>
      <w:r w:rsidRPr="004D581F">
        <w:rPr>
          <w:sz w:val="24"/>
          <w:szCs w:val="24"/>
          <w:lang w:eastAsia="nb-NO"/>
        </w:rPr>
        <w:t xml:space="preserve"> for ordførarar, varaordførarar og rådmenn 11. nov frå kl. 14.30 med tema </w:t>
      </w:r>
      <w:r w:rsidRPr="004D581F">
        <w:rPr>
          <w:b/>
          <w:bCs/>
          <w:sz w:val="24"/>
          <w:szCs w:val="24"/>
          <w:lang w:eastAsia="nb-NO"/>
        </w:rPr>
        <w:t>kommunereforma.</w:t>
      </w:r>
      <w:r w:rsidR="00377307">
        <w:rPr>
          <w:b/>
          <w:bCs/>
          <w:sz w:val="24"/>
          <w:szCs w:val="24"/>
          <w:lang w:eastAsia="nb-NO"/>
        </w:rPr>
        <w:br/>
      </w:r>
      <w:r w:rsidRPr="004D581F">
        <w:rPr>
          <w:sz w:val="24"/>
          <w:szCs w:val="24"/>
          <w:lang w:eastAsia="nb-NO"/>
        </w:rPr>
        <w:t xml:space="preserve">Dagen etter, den 12. nov. er det </w:t>
      </w:r>
      <w:hyperlink r:id="rId14" w:history="1">
        <w:r w:rsidRPr="00377307">
          <w:rPr>
            <w:rStyle w:val="Hyperkobling"/>
            <w:sz w:val="24"/>
            <w:szCs w:val="24"/>
            <w:lang w:eastAsia="nb-NO"/>
          </w:rPr>
          <w:t>samling</w:t>
        </w:r>
      </w:hyperlink>
      <w:r w:rsidRPr="004D581F">
        <w:rPr>
          <w:sz w:val="24"/>
          <w:szCs w:val="24"/>
          <w:lang w:eastAsia="nb-NO"/>
        </w:rPr>
        <w:t xml:space="preserve"> for ordførar/varaordførar og beredskapsansvarleg med tema </w:t>
      </w:r>
      <w:r w:rsidRPr="004D581F">
        <w:rPr>
          <w:b/>
          <w:bCs/>
          <w:sz w:val="24"/>
          <w:szCs w:val="24"/>
          <w:lang w:eastAsia="nb-NO"/>
        </w:rPr>
        <w:t>beredskap</w:t>
      </w:r>
      <w:r w:rsidR="00377307">
        <w:rPr>
          <w:sz w:val="24"/>
          <w:szCs w:val="24"/>
          <w:lang w:eastAsia="nb-NO"/>
        </w:rPr>
        <w:t>.</w:t>
      </w:r>
    </w:p>
    <w:p w:rsidR="004D581F" w:rsidRPr="00377307" w:rsidRDefault="004D581F" w:rsidP="00377307">
      <w:pPr>
        <w:widowControl/>
        <w:spacing w:after="120"/>
        <w:rPr>
          <w:b/>
          <w:bCs/>
          <w:color w:val="FF0000"/>
          <w:sz w:val="24"/>
          <w:szCs w:val="24"/>
          <w:lang w:eastAsia="nb-NO"/>
        </w:rPr>
      </w:pPr>
      <w:r w:rsidRPr="00377307">
        <w:rPr>
          <w:b/>
          <w:bCs/>
          <w:color w:val="FF0000"/>
          <w:sz w:val="24"/>
          <w:szCs w:val="24"/>
          <w:lang w:eastAsia="nb-NO"/>
        </w:rPr>
        <w:t>6., 7., 13. og 14. jan</w:t>
      </w:r>
      <w:r w:rsidR="00377307">
        <w:rPr>
          <w:b/>
          <w:bCs/>
          <w:color w:val="FF0000"/>
          <w:sz w:val="24"/>
          <w:szCs w:val="24"/>
          <w:lang w:eastAsia="nb-NO"/>
        </w:rPr>
        <w:t>uar 2016. - Politikaropplæring.</w:t>
      </w:r>
    </w:p>
    <w:p w:rsidR="004D581F" w:rsidRPr="004D581F" w:rsidRDefault="004D581F" w:rsidP="004D581F">
      <w:pPr>
        <w:rPr>
          <w:b/>
          <w:sz w:val="24"/>
          <w:szCs w:val="24"/>
        </w:rPr>
      </w:pPr>
      <w:r w:rsidRPr="004D581F">
        <w:rPr>
          <w:b/>
          <w:sz w:val="24"/>
          <w:szCs w:val="24"/>
        </w:rPr>
        <w:t>Målgruppe:</w:t>
      </w:r>
    </w:p>
    <w:p w:rsidR="004D581F" w:rsidRPr="004D581F" w:rsidRDefault="004D581F" w:rsidP="004D581F">
      <w:pPr>
        <w:rPr>
          <w:sz w:val="24"/>
          <w:szCs w:val="24"/>
        </w:rPr>
      </w:pPr>
      <w:r w:rsidRPr="004D581F">
        <w:rPr>
          <w:sz w:val="24"/>
          <w:szCs w:val="24"/>
        </w:rPr>
        <w:t>Kommunestyra. Kontaktpersonar for kommunereforma og administrativ leiing kan og delta.</w:t>
      </w:r>
    </w:p>
    <w:p w:rsidR="00377307" w:rsidRDefault="00377307" w:rsidP="004D581F">
      <w:pPr>
        <w:rPr>
          <w:b/>
          <w:sz w:val="24"/>
          <w:szCs w:val="24"/>
        </w:rPr>
      </w:pPr>
    </w:p>
    <w:p w:rsidR="004D581F" w:rsidRPr="004D581F" w:rsidRDefault="004D581F" w:rsidP="004D581F">
      <w:pPr>
        <w:rPr>
          <w:b/>
          <w:sz w:val="24"/>
          <w:szCs w:val="24"/>
        </w:rPr>
      </w:pPr>
      <w:r w:rsidRPr="004D581F">
        <w:rPr>
          <w:b/>
          <w:sz w:val="24"/>
          <w:szCs w:val="24"/>
        </w:rPr>
        <w:t>Innhald:</w:t>
      </w:r>
    </w:p>
    <w:p w:rsidR="00377307" w:rsidRDefault="004D581F" w:rsidP="004D581F">
      <w:pPr>
        <w:rPr>
          <w:sz w:val="24"/>
          <w:szCs w:val="24"/>
        </w:rPr>
      </w:pPr>
      <w:r w:rsidRPr="004D581F">
        <w:rPr>
          <w:i/>
          <w:sz w:val="24"/>
          <w:szCs w:val="24"/>
        </w:rPr>
        <w:t>I plenum:</w:t>
      </w:r>
      <w:r w:rsidRPr="004D581F">
        <w:rPr>
          <w:b/>
          <w:sz w:val="24"/>
          <w:szCs w:val="24"/>
        </w:rPr>
        <w:t xml:space="preserve"> </w:t>
      </w:r>
      <w:r w:rsidRPr="004D581F">
        <w:rPr>
          <w:sz w:val="24"/>
          <w:szCs w:val="24"/>
        </w:rPr>
        <w:t>Kommuneøkonomi</w:t>
      </w:r>
      <w:r w:rsidRPr="004D581F">
        <w:rPr>
          <w:b/>
          <w:sz w:val="24"/>
          <w:szCs w:val="24"/>
        </w:rPr>
        <w:t xml:space="preserve">, </w:t>
      </w:r>
      <w:r w:rsidRPr="004D581F">
        <w:rPr>
          <w:sz w:val="24"/>
          <w:szCs w:val="24"/>
        </w:rPr>
        <w:t>kommunereform</w:t>
      </w:r>
      <w:r w:rsidRPr="004D581F">
        <w:rPr>
          <w:b/>
          <w:sz w:val="24"/>
          <w:szCs w:val="24"/>
        </w:rPr>
        <w:t xml:space="preserve">, </w:t>
      </w:r>
      <w:r w:rsidRPr="004D581F">
        <w:rPr>
          <w:sz w:val="24"/>
          <w:szCs w:val="24"/>
        </w:rPr>
        <w:t>kommunelov, med sakshandsamingsreglar i folkevalte organ</w:t>
      </w:r>
      <w:r w:rsidRPr="004D581F">
        <w:rPr>
          <w:b/>
          <w:sz w:val="24"/>
          <w:szCs w:val="24"/>
        </w:rPr>
        <w:t xml:space="preserve">, </w:t>
      </w:r>
      <w:r w:rsidRPr="004D581F">
        <w:rPr>
          <w:sz w:val="24"/>
          <w:szCs w:val="24"/>
        </w:rPr>
        <w:t xml:space="preserve">planlegging etter plan- og bygningsloven. </w:t>
      </w:r>
      <w:r w:rsidRPr="004D581F">
        <w:rPr>
          <w:sz w:val="24"/>
          <w:szCs w:val="24"/>
        </w:rPr>
        <w:br/>
      </w:r>
      <w:r w:rsidRPr="004D581F">
        <w:rPr>
          <w:i/>
          <w:sz w:val="24"/>
          <w:szCs w:val="24"/>
        </w:rPr>
        <w:t>Parallelle sesjonar:</w:t>
      </w:r>
      <w:r w:rsidRPr="004D581F">
        <w:rPr>
          <w:b/>
          <w:sz w:val="24"/>
          <w:szCs w:val="24"/>
        </w:rPr>
        <w:t xml:space="preserve"> </w:t>
      </w:r>
      <w:r w:rsidRPr="004D581F">
        <w:rPr>
          <w:sz w:val="24"/>
          <w:szCs w:val="24"/>
        </w:rPr>
        <w:t>Tema frå miljøvern, landbruk, oppvekst- og utdanning, helse og sosial og justis og beredskap.</w:t>
      </w:r>
    </w:p>
    <w:p w:rsidR="00377307" w:rsidRDefault="00377307">
      <w:pPr>
        <w:rPr>
          <w:sz w:val="24"/>
          <w:szCs w:val="24"/>
        </w:rPr>
      </w:pPr>
      <w:r>
        <w:rPr>
          <w:sz w:val="24"/>
          <w:szCs w:val="24"/>
        </w:rPr>
        <w:br w:type="page"/>
      </w:r>
    </w:p>
    <w:p w:rsidR="00377307" w:rsidRDefault="00377307" w:rsidP="004D581F">
      <w:pPr>
        <w:rPr>
          <w:rFonts w:ascii="Calibri" w:eastAsia="Calibri" w:hAnsi="Calibri" w:cs="Calibri"/>
          <w:sz w:val="18"/>
          <w:szCs w:val="18"/>
        </w:rPr>
        <w:sectPr w:rsidR="00377307" w:rsidSect="004D581F">
          <w:headerReference w:type="default" r:id="rId15"/>
          <w:type w:val="continuous"/>
          <w:pgSz w:w="11910" w:h="16840"/>
          <w:pgMar w:top="822" w:right="1134" w:bottom="709" w:left="1134" w:header="709" w:footer="3641" w:gutter="0"/>
          <w:cols w:num="2" w:space="708"/>
        </w:sectPr>
      </w:pPr>
    </w:p>
    <w:p w:rsidR="00377307" w:rsidRDefault="00377307" w:rsidP="004D581F">
      <w:pPr>
        <w:rPr>
          <w:rFonts w:ascii="Calibri" w:eastAsia="Calibri" w:hAnsi="Calibri" w:cs="Calibri"/>
          <w:sz w:val="18"/>
          <w:szCs w:val="18"/>
        </w:rPr>
        <w:sectPr w:rsidR="00377307" w:rsidSect="008C521F">
          <w:footerReference w:type="default" r:id="rId16"/>
          <w:type w:val="continuous"/>
          <w:pgSz w:w="11910" w:h="16840"/>
          <w:pgMar w:top="822" w:right="238" w:bottom="567" w:left="454" w:header="709" w:footer="3640" w:gutter="340"/>
          <w:cols w:num="2" w:space="708"/>
        </w:sectPr>
      </w:pPr>
    </w:p>
    <w:p w:rsidR="00F91F32" w:rsidRDefault="00F91F32" w:rsidP="004D581F">
      <w:pPr>
        <w:rPr>
          <w:rFonts w:ascii="Calibri" w:eastAsia="Calibri" w:hAnsi="Calibri" w:cs="Calibri"/>
          <w:sz w:val="18"/>
          <w:szCs w:val="18"/>
        </w:rPr>
      </w:pPr>
    </w:p>
    <w:p w:rsidR="00377307" w:rsidRDefault="00377307" w:rsidP="00377307">
      <w:pPr>
        <w:shd w:val="clear" w:color="auto" w:fill="570023"/>
        <w:jc w:val="center"/>
        <w:rPr>
          <w:b/>
          <w:bCs/>
          <w:caps/>
          <w:color w:val="FFFFFF"/>
          <w:sz w:val="36"/>
          <w:szCs w:val="36"/>
        </w:rPr>
      </w:pPr>
    </w:p>
    <w:p w:rsidR="00377307" w:rsidRDefault="00377307" w:rsidP="00377307">
      <w:pPr>
        <w:shd w:val="clear" w:color="auto" w:fill="570023"/>
        <w:jc w:val="center"/>
        <w:rPr>
          <w:b/>
          <w:bCs/>
          <w:caps/>
          <w:color w:val="FFFFFF"/>
          <w:sz w:val="36"/>
          <w:szCs w:val="36"/>
        </w:rPr>
      </w:pPr>
      <w:r>
        <w:rPr>
          <w:b/>
          <w:bCs/>
          <w:caps/>
          <w:color w:val="FFFFFF"/>
          <w:sz w:val="36"/>
          <w:szCs w:val="36"/>
        </w:rPr>
        <w:t>FYLKESMANNEN</w:t>
      </w:r>
      <w:r>
        <w:rPr>
          <w:b/>
          <w:bCs/>
          <w:caps/>
          <w:color w:val="FFFFFF"/>
          <w:sz w:val="36"/>
          <w:szCs w:val="36"/>
        </w:rPr>
        <w:t xml:space="preserve"> </w:t>
      </w:r>
      <w:r>
        <w:rPr>
          <w:b/>
          <w:bCs/>
          <w:caps/>
          <w:color w:val="FFFFFF"/>
          <w:sz w:val="36"/>
          <w:szCs w:val="36"/>
        </w:rPr>
        <w:t>HAR ORDET</w:t>
      </w:r>
    </w:p>
    <w:p w:rsidR="00377307" w:rsidRDefault="00377307" w:rsidP="00377307">
      <w:pPr>
        <w:shd w:val="clear" w:color="auto" w:fill="570023"/>
        <w:jc w:val="center"/>
        <w:rPr>
          <w:rFonts w:ascii="Calibri Light" w:hAnsi="Calibri Light"/>
          <w:b/>
          <w:bCs/>
          <w:sz w:val="36"/>
          <w:szCs w:val="36"/>
        </w:rPr>
      </w:pPr>
    </w:p>
    <w:p w:rsidR="00377307" w:rsidRDefault="00377307" w:rsidP="004D581F">
      <w:pPr>
        <w:rPr>
          <w:rFonts w:ascii="Calibri" w:eastAsia="Calibri" w:hAnsi="Calibri" w:cs="Calibri"/>
          <w:sz w:val="18"/>
          <w:szCs w:val="18"/>
        </w:rPr>
      </w:pPr>
    </w:p>
    <w:p w:rsidR="00377307" w:rsidRDefault="00377307" w:rsidP="004D581F">
      <w:pPr>
        <w:rPr>
          <w:rFonts w:ascii="Calibri" w:eastAsia="Calibri" w:hAnsi="Calibri" w:cs="Calibri"/>
          <w:sz w:val="18"/>
          <w:szCs w:val="18"/>
        </w:rPr>
        <w:sectPr w:rsidR="00377307" w:rsidSect="00377307">
          <w:type w:val="continuous"/>
          <w:pgSz w:w="11910" w:h="16840"/>
          <w:pgMar w:top="822" w:right="1134" w:bottom="709" w:left="1134" w:header="709" w:footer="3641" w:gutter="0"/>
          <w:cols w:space="708"/>
        </w:sectPr>
      </w:pPr>
    </w:p>
    <w:p w:rsidR="00377307" w:rsidRDefault="00377307" w:rsidP="004D581F">
      <w:pPr>
        <w:rPr>
          <w:rFonts w:ascii="Calibri" w:eastAsia="Calibri" w:hAnsi="Calibri" w:cs="Calibri"/>
          <w:sz w:val="18"/>
          <w:szCs w:val="18"/>
        </w:rPr>
      </w:pPr>
    </w:p>
    <w:p w:rsidR="00377307" w:rsidRDefault="00377307" w:rsidP="00377307">
      <w:pPr>
        <w:rPr>
          <w:sz w:val="24"/>
          <w:szCs w:val="24"/>
          <w:lang w:eastAsia="nb-NO"/>
        </w:rPr>
      </w:pPr>
      <w:r>
        <w:rPr>
          <w:sz w:val="24"/>
          <w:szCs w:val="24"/>
          <w:lang w:eastAsia="nb-NO"/>
        </w:rPr>
        <w:t>Fylkesmannen merkar seg at arbeidet med kommunereforma har teke seg opp igjen etter hektiske valmånader. Stortinget har som kjent fatta vedtak om at kommunane skal gjennomføre ein prosess for å sjå på framtidig kommunestruktur for sin kommune. I utgreiingane skal det kome fram minst eitt faktabilete som innbyggarane kan høyrast på – utover fakta om å halde fram som eigen kommune:</w:t>
      </w:r>
    </w:p>
    <w:p w:rsidR="00377307" w:rsidRDefault="00377307" w:rsidP="00377307">
      <w:pPr>
        <w:rPr>
          <w:sz w:val="24"/>
          <w:szCs w:val="24"/>
          <w:lang w:eastAsia="nb-NO"/>
        </w:rPr>
      </w:pPr>
    </w:p>
    <w:p w:rsidR="00377307" w:rsidRDefault="00377307" w:rsidP="00377307">
      <w:pPr>
        <w:pStyle w:val="Listeavsnitt"/>
        <w:widowControl/>
        <w:numPr>
          <w:ilvl w:val="0"/>
          <w:numId w:val="5"/>
        </w:numPr>
        <w:rPr>
          <w:b/>
          <w:bCs/>
          <w:sz w:val="24"/>
          <w:szCs w:val="24"/>
          <w:lang w:eastAsia="nb-NO"/>
        </w:rPr>
      </w:pPr>
      <w:r>
        <w:rPr>
          <w:b/>
          <w:bCs/>
          <w:sz w:val="24"/>
          <w:szCs w:val="24"/>
          <w:lang w:eastAsia="nb-NO"/>
        </w:rPr>
        <w:t xml:space="preserve">Kommunen skal utgreia minst eitt alternativ for å bygge ein ny kommune saman med ein eller fleire nabokommunar </w:t>
      </w:r>
    </w:p>
    <w:p w:rsidR="00377307" w:rsidRDefault="00377307" w:rsidP="00377307">
      <w:pPr>
        <w:rPr>
          <w:sz w:val="24"/>
          <w:szCs w:val="24"/>
          <w:lang w:eastAsia="nb-NO"/>
        </w:rPr>
      </w:pPr>
    </w:p>
    <w:p w:rsidR="00377307" w:rsidRDefault="00377307" w:rsidP="00377307">
      <w:pPr>
        <w:rPr>
          <w:sz w:val="24"/>
          <w:szCs w:val="24"/>
        </w:rPr>
      </w:pPr>
      <w:r>
        <w:rPr>
          <w:sz w:val="24"/>
          <w:szCs w:val="24"/>
          <w:lang w:eastAsia="nb-NO"/>
        </w:rPr>
        <w:t xml:space="preserve">Dei store utgreiingane i regionane i Møre og Romsdal er sluttført, og kommunane samlar no opp fakta for å gå over i neste fase. I denne fasen skal kommunane gå frå det som til no har vore  nabopratar til meir «formelle» forhandlingar om å bygge ein ny kommune. </w:t>
      </w:r>
      <w:r>
        <w:rPr>
          <w:sz w:val="24"/>
          <w:szCs w:val="24"/>
        </w:rPr>
        <w:t xml:space="preserve">Innan 1. juli skal kommunane ha fatta vedtak om ønska framtidig kommunestruktur. </w:t>
      </w:r>
    </w:p>
    <w:p w:rsidR="00377307" w:rsidRDefault="00377307" w:rsidP="00377307">
      <w:pPr>
        <w:rPr>
          <w:sz w:val="24"/>
          <w:szCs w:val="24"/>
        </w:rPr>
      </w:pPr>
    </w:p>
    <w:p w:rsidR="00377307" w:rsidRDefault="00377307" w:rsidP="00377307">
      <w:pPr>
        <w:rPr>
          <w:sz w:val="24"/>
          <w:szCs w:val="24"/>
          <w:lang w:eastAsia="nb-NO"/>
        </w:rPr>
      </w:pPr>
      <w:r>
        <w:rPr>
          <w:sz w:val="24"/>
          <w:szCs w:val="24"/>
        </w:rPr>
        <w:t xml:space="preserve">Inndelingslova § 10 seier at innbyggarane bør høyrast før kommunestyret fattar vedtak om ei eventuell samanslåing. Det er opp til kommunestyret å velje kva type høyringsmetode dei vil nytte i kommunen. Dei ulike høyringsmetodane kan ha ulike effektar på prosessen fram til vedtak. </w:t>
      </w:r>
    </w:p>
    <w:p w:rsidR="00377307" w:rsidRDefault="00377307" w:rsidP="00377307">
      <w:pPr>
        <w:rPr>
          <w:sz w:val="24"/>
          <w:szCs w:val="24"/>
        </w:rPr>
      </w:pPr>
    </w:p>
    <w:p w:rsidR="00377307" w:rsidRDefault="00377307" w:rsidP="00377307">
      <w:pPr>
        <w:rPr>
          <w:sz w:val="24"/>
          <w:szCs w:val="24"/>
        </w:rPr>
      </w:pPr>
    </w:p>
    <w:p w:rsidR="00377307" w:rsidRDefault="00377307" w:rsidP="00377307">
      <w:pPr>
        <w:pStyle w:val="Listeavsnitt"/>
        <w:widowControl/>
        <w:numPr>
          <w:ilvl w:val="0"/>
          <w:numId w:val="5"/>
        </w:numPr>
        <w:rPr>
          <w:b/>
          <w:bCs/>
          <w:sz w:val="24"/>
          <w:szCs w:val="24"/>
        </w:rPr>
      </w:pPr>
      <w:r>
        <w:rPr>
          <w:b/>
          <w:bCs/>
          <w:sz w:val="24"/>
          <w:szCs w:val="24"/>
        </w:rPr>
        <w:t xml:space="preserve">Fylkesmannen tilrår å gjennomføre innbyggarhøyringa som innbyggarundersøking framfor </w:t>
      </w:r>
      <w:bookmarkStart w:id="0" w:name="_GoBack"/>
      <w:bookmarkEnd w:id="0"/>
      <w:r>
        <w:rPr>
          <w:b/>
          <w:bCs/>
          <w:sz w:val="24"/>
          <w:szCs w:val="24"/>
        </w:rPr>
        <w:t xml:space="preserve">folkerøysting. Ei innbyggarundersøking vil i større grad få fram nyanserte synspunkt som igjen kan legge til rette for dialog og medverknad, og det gjev eit betre grunnlag for kommunestyret når dei skal fatte avgjerda si. </w:t>
      </w:r>
    </w:p>
    <w:p w:rsidR="00377307" w:rsidRDefault="00377307" w:rsidP="00377307">
      <w:pPr>
        <w:rPr>
          <w:sz w:val="24"/>
          <w:szCs w:val="24"/>
        </w:rPr>
      </w:pPr>
    </w:p>
    <w:p w:rsidR="00377307" w:rsidRDefault="00377307" w:rsidP="00377307">
      <w:pPr>
        <w:rPr>
          <w:sz w:val="24"/>
          <w:szCs w:val="24"/>
        </w:rPr>
      </w:pPr>
      <w:r>
        <w:rPr>
          <w:sz w:val="24"/>
          <w:szCs w:val="24"/>
        </w:rPr>
        <w:t xml:space="preserve">Dersom kommunestyret ønskjer folkerøysting er det ein viktig føresetnad at det på førehand har vore ein opplyst debatt med brei medverknad frå innbyggarane. Kommunane bør gjennomføre eit retningsval og ei innsnevring av alternativ. Fordelar og ulemper  ved dei ulike alternativa må vere godt opplyst. Dersom det ligg føre intensjonsavtaler vil det gje eit godt utgangspunkt for ei folkerøysting. </w:t>
      </w:r>
    </w:p>
    <w:p w:rsidR="00377307" w:rsidRDefault="00377307" w:rsidP="00377307">
      <w:pPr>
        <w:rPr>
          <w:sz w:val="24"/>
          <w:szCs w:val="24"/>
        </w:rPr>
      </w:pPr>
    </w:p>
    <w:p w:rsidR="00377307" w:rsidRDefault="00377307" w:rsidP="00377307">
      <w:pPr>
        <w:rPr>
          <w:sz w:val="24"/>
          <w:szCs w:val="24"/>
        </w:rPr>
      </w:pPr>
      <w:r>
        <w:rPr>
          <w:sz w:val="24"/>
          <w:szCs w:val="24"/>
        </w:rPr>
        <w:t>Det er kommunestyret som til slutt skal ta den endelege avgjerda om framtidig kommunestruktur ut i frå dei fakta som føreligg.</w:t>
      </w:r>
      <w:r>
        <w:rPr>
          <w:color w:val="1F497D"/>
          <w:sz w:val="24"/>
          <w:szCs w:val="24"/>
        </w:rPr>
        <w:t xml:space="preserve"> </w:t>
      </w:r>
      <w:r>
        <w:rPr>
          <w:sz w:val="24"/>
          <w:szCs w:val="24"/>
        </w:rPr>
        <w:t xml:space="preserve">Etter dette skal Fylkesmannen gjere si tilråding ut i frå ei heilskapleg vurdering. Stortinget vil til slutt gjere dei endeleg vedtaka våren 2017. </w:t>
      </w:r>
    </w:p>
    <w:sectPr w:rsidR="00377307" w:rsidSect="00377307">
      <w:type w:val="continuous"/>
      <w:pgSz w:w="11910" w:h="16840"/>
      <w:pgMar w:top="822" w:right="1134" w:bottom="709" w:left="1134" w:header="709" w:footer="3641"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C10" w:rsidRDefault="00B77C10" w:rsidP="00F91F32">
      <w:r>
        <w:separator/>
      </w:r>
    </w:p>
  </w:endnote>
  <w:endnote w:type="continuationSeparator" w:id="0">
    <w:p w:rsidR="00B77C10" w:rsidRDefault="00B77C10" w:rsidP="00F9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32" w:rsidRDefault="00E50451">
    <w:pPr>
      <w:pStyle w:val="Bunntekst"/>
    </w:pPr>
    <w:r>
      <w:rPr>
        <w:rFonts w:ascii="Calibri" w:eastAsia="Calibri" w:hAnsi="Calibri" w:cs="Calibri"/>
        <w:noProof/>
        <w:sz w:val="20"/>
        <w:szCs w:val="20"/>
        <w:lang w:val="nb-NO" w:eastAsia="nb-NO"/>
      </w:rPr>
      <w:drawing>
        <wp:anchor distT="0" distB="0" distL="114300" distR="114300" simplePos="0" relativeHeight="251657216" behindDoc="1" locked="0" layoutInCell="1" allowOverlap="1" wp14:anchorId="47D94C09" wp14:editId="7646D986">
          <wp:simplePos x="0" y="0"/>
          <wp:positionH relativeFrom="margin">
            <wp:posOffset>154940</wp:posOffset>
          </wp:positionH>
          <wp:positionV relativeFrom="margin">
            <wp:posOffset>8691880</wp:posOffset>
          </wp:positionV>
          <wp:extent cx="6733540" cy="610235"/>
          <wp:effectExtent l="0" t="0" r="0" b="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ommunefolk-horisontal.png"/>
                  <pic:cNvPicPr/>
                </pic:nvPicPr>
                <pic:blipFill>
                  <a:blip r:embed="rId1">
                    <a:extLst>
                      <a:ext uri="{28A0092B-C50C-407E-A947-70E740481C1C}">
                        <a14:useLocalDpi xmlns:a14="http://schemas.microsoft.com/office/drawing/2010/main" val="0"/>
                      </a:ext>
                    </a:extLst>
                  </a:blip>
                  <a:stretch>
                    <a:fillRect/>
                  </a:stretch>
                </pic:blipFill>
                <pic:spPr>
                  <a:xfrm>
                    <a:off x="0" y="0"/>
                    <a:ext cx="6733540" cy="610235"/>
                  </a:xfrm>
                  <a:prstGeom prst="rect">
                    <a:avLst/>
                  </a:prstGeom>
                </pic:spPr>
              </pic:pic>
            </a:graphicData>
          </a:graphic>
          <wp14:sizeRelH relativeFrom="page">
            <wp14:pctWidth>0</wp14:pctWidth>
          </wp14:sizeRelH>
          <wp14:sizeRelV relativeFrom="page">
            <wp14:pctHeight>0</wp14:pctHeight>
          </wp14:sizeRelV>
        </wp:anchor>
      </w:drawing>
    </w:r>
    <w:r w:rsidR="00F91F32">
      <w:rPr>
        <w:noProof/>
        <w:lang w:val="nb-NO" w:eastAsia="nb-NO"/>
      </w:rPr>
      <w:drawing>
        <wp:anchor distT="0" distB="0" distL="114300" distR="114300" simplePos="0" relativeHeight="251661312" behindDoc="1" locked="0" layoutInCell="1" allowOverlap="1" wp14:anchorId="119B90D7" wp14:editId="181052BD">
          <wp:simplePos x="0" y="0"/>
          <wp:positionH relativeFrom="margin">
            <wp:posOffset>114473</wp:posOffset>
          </wp:positionH>
          <wp:positionV relativeFrom="margin">
            <wp:posOffset>9230245</wp:posOffset>
          </wp:positionV>
          <wp:extent cx="6755765" cy="459105"/>
          <wp:effectExtent l="0" t="0" r="0"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mal.jpg"/>
                  <pic:cNvPicPr/>
                </pic:nvPicPr>
                <pic:blipFill rotWithShape="1">
                  <a:blip r:embed="rId2">
                    <a:extLst>
                      <a:ext uri="{28A0092B-C50C-407E-A947-70E740481C1C}">
                        <a14:useLocalDpi xmlns:a14="http://schemas.microsoft.com/office/drawing/2010/main" val="0"/>
                      </a:ext>
                    </a:extLst>
                  </a:blip>
                  <a:srcRect t="95279"/>
                  <a:stretch/>
                </pic:blipFill>
                <pic:spPr bwMode="auto">
                  <a:xfrm>
                    <a:off x="0" y="0"/>
                    <a:ext cx="6755765" cy="459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1F" w:rsidRDefault="008C521F">
    <w:pPr>
      <w:pStyle w:val="Bunntekst"/>
    </w:pPr>
    <w:r>
      <w:rPr>
        <w:rFonts w:ascii="Calibri" w:eastAsia="Calibri" w:hAnsi="Calibri" w:cs="Calibri"/>
        <w:noProof/>
        <w:sz w:val="20"/>
        <w:szCs w:val="20"/>
        <w:lang w:val="nb-NO" w:eastAsia="nb-NO"/>
      </w:rPr>
      <w:drawing>
        <wp:anchor distT="0" distB="0" distL="114300" distR="114300" simplePos="0" relativeHeight="251663360" behindDoc="1" locked="0" layoutInCell="1" allowOverlap="1" wp14:anchorId="79F24895" wp14:editId="5ED780C0">
          <wp:simplePos x="0" y="0"/>
          <wp:positionH relativeFrom="margin">
            <wp:posOffset>154940</wp:posOffset>
          </wp:positionH>
          <wp:positionV relativeFrom="margin">
            <wp:posOffset>8691880</wp:posOffset>
          </wp:positionV>
          <wp:extent cx="6733540" cy="610235"/>
          <wp:effectExtent l="0" t="0" r="0" b="0"/>
          <wp:wrapSquare wrapText="bothSides"/>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ommunefolk-horisontal.png"/>
                  <pic:cNvPicPr/>
                </pic:nvPicPr>
                <pic:blipFill>
                  <a:blip r:embed="rId1">
                    <a:extLst>
                      <a:ext uri="{28A0092B-C50C-407E-A947-70E740481C1C}">
                        <a14:useLocalDpi xmlns:a14="http://schemas.microsoft.com/office/drawing/2010/main" val="0"/>
                      </a:ext>
                    </a:extLst>
                  </a:blip>
                  <a:stretch>
                    <a:fillRect/>
                  </a:stretch>
                </pic:blipFill>
                <pic:spPr>
                  <a:xfrm>
                    <a:off x="0" y="0"/>
                    <a:ext cx="6733540" cy="610235"/>
                  </a:xfrm>
                  <a:prstGeom prst="rect">
                    <a:avLst/>
                  </a:prstGeom>
                </pic:spPr>
              </pic:pic>
            </a:graphicData>
          </a:graphic>
          <wp14:sizeRelH relativeFrom="page">
            <wp14:pctWidth>0</wp14:pctWidth>
          </wp14:sizeRelH>
          <wp14:sizeRelV relativeFrom="page">
            <wp14:pctHeight>0</wp14:pctHeight>
          </wp14:sizeRelV>
        </wp:anchor>
      </w:drawing>
    </w:r>
    <w:r>
      <w:rPr>
        <w:noProof/>
        <w:lang w:val="nb-NO" w:eastAsia="nb-NO"/>
      </w:rPr>
      <w:drawing>
        <wp:anchor distT="0" distB="0" distL="114300" distR="114300" simplePos="0" relativeHeight="251664384" behindDoc="1" locked="0" layoutInCell="1" allowOverlap="1" wp14:anchorId="0C733313" wp14:editId="3A7B13E7">
          <wp:simplePos x="0" y="0"/>
          <wp:positionH relativeFrom="margin">
            <wp:posOffset>114473</wp:posOffset>
          </wp:positionH>
          <wp:positionV relativeFrom="margin">
            <wp:posOffset>9230245</wp:posOffset>
          </wp:positionV>
          <wp:extent cx="6755765" cy="459105"/>
          <wp:effectExtent l="0" t="0" r="0" b="0"/>
          <wp:wrapSquare wrapText="bothSides"/>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mal.jpg"/>
                  <pic:cNvPicPr/>
                </pic:nvPicPr>
                <pic:blipFill rotWithShape="1">
                  <a:blip r:embed="rId2">
                    <a:extLst>
                      <a:ext uri="{28A0092B-C50C-407E-A947-70E740481C1C}">
                        <a14:useLocalDpi xmlns:a14="http://schemas.microsoft.com/office/drawing/2010/main" val="0"/>
                      </a:ext>
                    </a:extLst>
                  </a:blip>
                  <a:srcRect t="95279"/>
                  <a:stretch/>
                </pic:blipFill>
                <pic:spPr bwMode="auto">
                  <a:xfrm>
                    <a:off x="0" y="0"/>
                    <a:ext cx="6755765" cy="459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C10" w:rsidRDefault="00B77C10" w:rsidP="00F91F32">
      <w:r>
        <w:separator/>
      </w:r>
    </w:p>
  </w:footnote>
  <w:footnote w:type="continuationSeparator" w:id="0">
    <w:p w:rsidR="00B77C10" w:rsidRDefault="00B77C10" w:rsidP="00F91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32" w:rsidRDefault="00F91F32">
    <w:pPr>
      <w:pStyle w:val="Topptekst"/>
    </w:pPr>
    <w:r>
      <w:rPr>
        <w:noProof/>
        <w:lang w:val="nb-NO" w:eastAsia="nb-NO"/>
      </w:rPr>
      <w:drawing>
        <wp:inline distT="0" distB="0" distL="0" distR="0">
          <wp:extent cx="2098964" cy="763628"/>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ylkesmannen i Møre og Romsdal.jpg"/>
                  <pic:cNvPicPr/>
                </pic:nvPicPr>
                <pic:blipFill>
                  <a:blip r:embed="rId1">
                    <a:extLst>
                      <a:ext uri="{28A0092B-C50C-407E-A947-70E740481C1C}">
                        <a14:useLocalDpi xmlns:a14="http://schemas.microsoft.com/office/drawing/2010/main" val="0"/>
                      </a:ext>
                    </a:extLst>
                  </a:blip>
                  <a:stretch>
                    <a:fillRect/>
                  </a:stretch>
                </pic:blipFill>
                <pic:spPr>
                  <a:xfrm>
                    <a:off x="0" y="0"/>
                    <a:ext cx="2131691" cy="77553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51" w:rsidRPr="008C521F" w:rsidRDefault="00E50451" w:rsidP="008C521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4EE4"/>
    <w:multiLevelType w:val="hybridMultilevel"/>
    <w:tmpl w:val="A31E6344"/>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 w15:restartNumberingAfterBreak="0">
    <w:nsid w:val="0E840E42"/>
    <w:multiLevelType w:val="hybridMultilevel"/>
    <w:tmpl w:val="3B802224"/>
    <w:lvl w:ilvl="0" w:tplc="A550870E">
      <w:start w:val="1"/>
      <w:numFmt w:val="bullet"/>
      <w:lvlText w:val=""/>
      <w:lvlJc w:val="left"/>
      <w:pPr>
        <w:tabs>
          <w:tab w:val="num" w:pos="720"/>
        </w:tabs>
        <w:ind w:left="720" w:hanging="360"/>
      </w:pPr>
      <w:rPr>
        <w:rFonts w:ascii="Wingdings" w:hAnsi="Wingdings" w:hint="default"/>
      </w:rPr>
    </w:lvl>
    <w:lvl w:ilvl="1" w:tplc="A0705900" w:tentative="1">
      <w:start w:val="1"/>
      <w:numFmt w:val="bullet"/>
      <w:lvlText w:val=""/>
      <w:lvlJc w:val="left"/>
      <w:pPr>
        <w:tabs>
          <w:tab w:val="num" w:pos="1440"/>
        </w:tabs>
        <w:ind w:left="1440" w:hanging="360"/>
      </w:pPr>
      <w:rPr>
        <w:rFonts w:ascii="Wingdings" w:hAnsi="Wingdings" w:hint="default"/>
      </w:rPr>
    </w:lvl>
    <w:lvl w:ilvl="2" w:tplc="BD3AEDB0" w:tentative="1">
      <w:start w:val="1"/>
      <w:numFmt w:val="bullet"/>
      <w:lvlText w:val=""/>
      <w:lvlJc w:val="left"/>
      <w:pPr>
        <w:tabs>
          <w:tab w:val="num" w:pos="2160"/>
        </w:tabs>
        <w:ind w:left="2160" w:hanging="360"/>
      </w:pPr>
      <w:rPr>
        <w:rFonts w:ascii="Wingdings" w:hAnsi="Wingdings" w:hint="default"/>
      </w:rPr>
    </w:lvl>
    <w:lvl w:ilvl="3" w:tplc="3712F7E0" w:tentative="1">
      <w:start w:val="1"/>
      <w:numFmt w:val="bullet"/>
      <w:lvlText w:val=""/>
      <w:lvlJc w:val="left"/>
      <w:pPr>
        <w:tabs>
          <w:tab w:val="num" w:pos="2880"/>
        </w:tabs>
        <w:ind w:left="2880" w:hanging="360"/>
      </w:pPr>
      <w:rPr>
        <w:rFonts w:ascii="Wingdings" w:hAnsi="Wingdings" w:hint="default"/>
      </w:rPr>
    </w:lvl>
    <w:lvl w:ilvl="4" w:tplc="D8F61894" w:tentative="1">
      <w:start w:val="1"/>
      <w:numFmt w:val="bullet"/>
      <w:lvlText w:val=""/>
      <w:lvlJc w:val="left"/>
      <w:pPr>
        <w:tabs>
          <w:tab w:val="num" w:pos="3600"/>
        </w:tabs>
        <w:ind w:left="3600" w:hanging="360"/>
      </w:pPr>
      <w:rPr>
        <w:rFonts w:ascii="Wingdings" w:hAnsi="Wingdings" w:hint="default"/>
      </w:rPr>
    </w:lvl>
    <w:lvl w:ilvl="5" w:tplc="58ECF080" w:tentative="1">
      <w:start w:val="1"/>
      <w:numFmt w:val="bullet"/>
      <w:lvlText w:val=""/>
      <w:lvlJc w:val="left"/>
      <w:pPr>
        <w:tabs>
          <w:tab w:val="num" w:pos="4320"/>
        </w:tabs>
        <w:ind w:left="4320" w:hanging="360"/>
      </w:pPr>
      <w:rPr>
        <w:rFonts w:ascii="Wingdings" w:hAnsi="Wingdings" w:hint="default"/>
      </w:rPr>
    </w:lvl>
    <w:lvl w:ilvl="6" w:tplc="F044F4DC" w:tentative="1">
      <w:start w:val="1"/>
      <w:numFmt w:val="bullet"/>
      <w:lvlText w:val=""/>
      <w:lvlJc w:val="left"/>
      <w:pPr>
        <w:tabs>
          <w:tab w:val="num" w:pos="5040"/>
        </w:tabs>
        <w:ind w:left="5040" w:hanging="360"/>
      </w:pPr>
      <w:rPr>
        <w:rFonts w:ascii="Wingdings" w:hAnsi="Wingdings" w:hint="default"/>
      </w:rPr>
    </w:lvl>
    <w:lvl w:ilvl="7" w:tplc="5028A5E8" w:tentative="1">
      <w:start w:val="1"/>
      <w:numFmt w:val="bullet"/>
      <w:lvlText w:val=""/>
      <w:lvlJc w:val="left"/>
      <w:pPr>
        <w:tabs>
          <w:tab w:val="num" w:pos="5760"/>
        </w:tabs>
        <w:ind w:left="5760" w:hanging="360"/>
      </w:pPr>
      <w:rPr>
        <w:rFonts w:ascii="Wingdings" w:hAnsi="Wingdings" w:hint="default"/>
      </w:rPr>
    </w:lvl>
    <w:lvl w:ilvl="8" w:tplc="5CF6A1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13257"/>
    <w:multiLevelType w:val="hybridMultilevel"/>
    <w:tmpl w:val="073E453C"/>
    <w:lvl w:ilvl="0" w:tplc="7866745A">
      <w:start w:val="1"/>
      <w:numFmt w:val="bullet"/>
      <w:lvlText w:val=""/>
      <w:lvlJc w:val="left"/>
      <w:pPr>
        <w:tabs>
          <w:tab w:val="num" w:pos="1068"/>
        </w:tabs>
        <w:ind w:left="1068" w:hanging="360"/>
      </w:pPr>
      <w:rPr>
        <w:rFonts w:ascii="Wingdings" w:hAnsi="Wingdings" w:hint="default"/>
      </w:rPr>
    </w:lvl>
    <w:lvl w:ilvl="1" w:tplc="07267CA6" w:tentative="1">
      <w:start w:val="1"/>
      <w:numFmt w:val="bullet"/>
      <w:lvlText w:val=""/>
      <w:lvlJc w:val="left"/>
      <w:pPr>
        <w:tabs>
          <w:tab w:val="num" w:pos="1788"/>
        </w:tabs>
        <w:ind w:left="1788" w:hanging="360"/>
      </w:pPr>
      <w:rPr>
        <w:rFonts w:ascii="Wingdings" w:hAnsi="Wingdings" w:hint="default"/>
      </w:rPr>
    </w:lvl>
    <w:lvl w:ilvl="2" w:tplc="625CC82A" w:tentative="1">
      <w:start w:val="1"/>
      <w:numFmt w:val="bullet"/>
      <w:lvlText w:val=""/>
      <w:lvlJc w:val="left"/>
      <w:pPr>
        <w:tabs>
          <w:tab w:val="num" w:pos="2508"/>
        </w:tabs>
        <w:ind w:left="2508" w:hanging="360"/>
      </w:pPr>
      <w:rPr>
        <w:rFonts w:ascii="Wingdings" w:hAnsi="Wingdings" w:hint="default"/>
      </w:rPr>
    </w:lvl>
    <w:lvl w:ilvl="3" w:tplc="718A54BC" w:tentative="1">
      <w:start w:val="1"/>
      <w:numFmt w:val="bullet"/>
      <w:lvlText w:val=""/>
      <w:lvlJc w:val="left"/>
      <w:pPr>
        <w:tabs>
          <w:tab w:val="num" w:pos="3228"/>
        </w:tabs>
        <w:ind w:left="3228" w:hanging="360"/>
      </w:pPr>
      <w:rPr>
        <w:rFonts w:ascii="Wingdings" w:hAnsi="Wingdings" w:hint="default"/>
      </w:rPr>
    </w:lvl>
    <w:lvl w:ilvl="4" w:tplc="3552FF1C" w:tentative="1">
      <w:start w:val="1"/>
      <w:numFmt w:val="bullet"/>
      <w:lvlText w:val=""/>
      <w:lvlJc w:val="left"/>
      <w:pPr>
        <w:tabs>
          <w:tab w:val="num" w:pos="3948"/>
        </w:tabs>
        <w:ind w:left="3948" w:hanging="360"/>
      </w:pPr>
      <w:rPr>
        <w:rFonts w:ascii="Wingdings" w:hAnsi="Wingdings" w:hint="default"/>
      </w:rPr>
    </w:lvl>
    <w:lvl w:ilvl="5" w:tplc="5E649EBA" w:tentative="1">
      <w:start w:val="1"/>
      <w:numFmt w:val="bullet"/>
      <w:lvlText w:val=""/>
      <w:lvlJc w:val="left"/>
      <w:pPr>
        <w:tabs>
          <w:tab w:val="num" w:pos="4668"/>
        </w:tabs>
        <w:ind w:left="4668" w:hanging="360"/>
      </w:pPr>
      <w:rPr>
        <w:rFonts w:ascii="Wingdings" w:hAnsi="Wingdings" w:hint="default"/>
      </w:rPr>
    </w:lvl>
    <w:lvl w:ilvl="6" w:tplc="B87E4EE8" w:tentative="1">
      <w:start w:val="1"/>
      <w:numFmt w:val="bullet"/>
      <w:lvlText w:val=""/>
      <w:lvlJc w:val="left"/>
      <w:pPr>
        <w:tabs>
          <w:tab w:val="num" w:pos="5388"/>
        </w:tabs>
        <w:ind w:left="5388" w:hanging="360"/>
      </w:pPr>
      <w:rPr>
        <w:rFonts w:ascii="Wingdings" w:hAnsi="Wingdings" w:hint="default"/>
      </w:rPr>
    </w:lvl>
    <w:lvl w:ilvl="7" w:tplc="881E4B2E" w:tentative="1">
      <w:start w:val="1"/>
      <w:numFmt w:val="bullet"/>
      <w:lvlText w:val=""/>
      <w:lvlJc w:val="left"/>
      <w:pPr>
        <w:tabs>
          <w:tab w:val="num" w:pos="6108"/>
        </w:tabs>
        <w:ind w:left="6108" w:hanging="360"/>
      </w:pPr>
      <w:rPr>
        <w:rFonts w:ascii="Wingdings" w:hAnsi="Wingdings" w:hint="default"/>
      </w:rPr>
    </w:lvl>
    <w:lvl w:ilvl="8" w:tplc="B5BECB24"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D4525B1"/>
    <w:multiLevelType w:val="hybridMultilevel"/>
    <w:tmpl w:val="88745CD4"/>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4" w15:restartNumberingAfterBreak="0">
    <w:nsid w:val="73A83B7A"/>
    <w:multiLevelType w:val="hybridMultilevel"/>
    <w:tmpl w:val="0D2EF680"/>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1"/>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gutterAtTop/>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56"/>
    <w:rsid w:val="00304B56"/>
    <w:rsid w:val="00377307"/>
    <w:rsid w:val="004442F4"/>
    <w:rsid w:val="00457082"/>
    <w:rsid w:val="00461D6D"/>
    <w:rsid w:val="004D581F"/>
    <w:rsid w:val="007739A5"/>
    <w:rsid w:val="008C521F"/>
    <w:rsid w:val="00936BE8"/>
    <w:rsid w:val="00B77C10"/>
    <w:rsid w:val="00E50451"/>
    <w:rsid w:val="00F91F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E8CEB9-A946-4900-8D63-160E3CD3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40"/>
    </w:pPr>
    <w:rPr>
      <w:rFonts w:ascii="Calibri" w:eastAsia="Calibri" w:hAnsi="Calibri"/>
      <w:sz w:val="20"/>
      <w:szCs w:val="20"/>
    </w:rPr>
  </w:style>
  <w:style w:type="paragraph" w:styleId="Listeavsnitt">
    <w:name w:val="List Paragraph"/>
    <w:basedOn w:val="Normal"/>
    <w:uiPriority w:val="34"/>
    <w:qFormat/>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F91F32"/>
    <w:pPr>
      <w:tabs>
        <w:tab w:val="center" w:pos="4536"/>
        <w:tab w:val="right" w:pos="9072"/>
      </w:tabs>
    </w:pPr>
  </w:style>
  <w:style w:type="character" w:customStyle="1" w:styleId="TopptekstTegn">
    <w:name w:val="Topptekst Tegn"/>
    <w:basedOn w:val="Standardskriftforavsnitt"/>
    <w:link w:val="Topptekst"/>
    <w:uiPriority w:val="99"/>
    <w:rsid w:val="00F91F32"/>
  </w:style>
  <w:style w:type="paragraph" w:styleId="Bunntekst">
    <w:name w:val="footer"/>
    <w:basedOn w:val="Normal"/>
    <w:link w:val="BunntekstTegn"/>
    <w:uiPriority w:val="99"/>
    <w:unhideWhenUsed/>
    <w:rsid w:val="00F91F32"/>
    <w:pPr>
      <w:tabs>
        <w:tab w:val="center" w:pos="4536"/>
        <w:tab w:val="right" w:pos="9072"/>
      </w:tabs>
    </w:pPr>
  </w:style>
  <w:style w:type="character" w:customStyle="1" w:styleId="BunntekstTegn">
    <w:name w:val="Bunntekst Tegn"/>
    <w:basedOn w:val="Standardskriftforavsnitt"/>
    <w:link w:val="Bunntekst"/>
    <w:uiPriority w:val="99"/>
    <w:rsid w:val="00F91F32"/>
  </w:style>
  <w:style w:type="character" w:styleId="Hyperkobling">
    <w:name w:val="Hyperlink"/>
    <w:basedOn w:val="Standardskriftforavsnitt"/>
    <w:uiPriority w:val="99"/>
    <w:unhideWhenUsed/>
    <w:rsid w:val="00E50451"/>
    <w:rPr>
      <w:color w:val="0000FF" w:themeColor="hyperlink"/>
      <w:u w:val="single"/>
    </w:rPr>
  </w:style>
  <w:style w:type="paragraph" w:styleId="NormalWeb">
    <w:name w:val="Normal (Web)"/>
    <w:basedOn w:val="Normal"/>
    <w:uiPriority w:val="99"/>
    <w:unhideWhenUsed/>
    <w:rsid w:val="00E50451"/>
    <w:pPr>
      <w:widowControl/>
      <w:spacing w:before="100" w:beforeAutospacing="1" w:after="100" w:afterAutospacing="1"/>
    </w:pPr>
    <w:rPr>
      <w:rFonts w:ascii="Times New Roman" w:eastAsia="Times New Roman" w:hAnsi="Times New Roman" w:cs="Times New Roman"/>
      <w:sz w:val="24"/>
      <w:szCs w:val="24"/>
      <w:lang w:val="nb-NO" w:eastAsia="nb-NO"/>
    </w:rPr>
  </w:style>
  <w:style w:type="character" w:styleId="Fulgthyperkobling">
    <w:name w:val="FollowedHyperlink"/>
    <w:basedOn w:val="Standardskriftforavsnitt"/>
    <w:uiPriority w:val="99"/>
    <w:semiHidden/>
    <w:unhideWhenUsed/>
    <w:rsid w:val="004D58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103">
      <w:bodyDiv w:val="1"/>
      <w:marLeft w:val="0"/>
      <w:marRight w:val="0"/>
      <w:marTop w:val="0"/>
      <w:marBottom w:val="0"/>
      <w:divBdr>
        <w:top w:val="none" w:sz="0" w:space="0" w:color="auto"/>
        <w:left w:val="none" w:sz="0" w:space="0" w:color="auto"/>
        <w:bottom w:val="none" w:sz="0" w:space="0" w:color="auto"/>
        <w:right w:val="none" w:sz="0" w:space="0" w:color="auto"/>
      </w:divBdr>
    </w:div>
    <w:div w:id="307365380">
      <w:bodyDiv w:val="1"/>
      <w:marLeft w:val="0"/>
      <w:marRight w:val="0"/>
      <w:marTop w:val="0"/>
      <w:marBottom w:val="0"/>
      <w:divBdr>
        <w:top w:val="none" w:sz="0" w:space="0" w:color="auto"/>
        <w:left w:val="none" w:sz="0" w:space="0" w:color="auto"/>
        <w:bottom w:val="none" w:sz="0" w:space="0" w:color="auto"/>
        <w:right w:val="none" w:sz="0" w:space="0" w:color="auto"/>
      </w:divBdr>
    </w:div>
    <w:div w:id="1770462438">
      <w:bodyDiv w:val="1"/>
      <w:marLeft w:val="0"/>
      <w:marRight w:val="0"/>
      <w:marTop w:val="0"/>
      <w:marBottom w:val="0"/>
      <w:divBdr>
        <w:top w:val="none" w:sz="0" w:space="0" w:color="auto"/>
        <w:left w:val="none" w:sz="0" w:space="0" w:color="auto"/>
        <w:bottom w:val="none" w:sz="0" w:space="0" w:color="auto"/>
        <w:right w:val="none" w:sz="0" w:space="0" w:color="auto"/>
      </w:divBdr>
    </w:div>
    <w:div w:id="2069188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ylkesmannen.no/nn/More-og-Romsdal/Kurs-og-konferansekalender/Kommunereformen---og-kommunal-beredskap-og-krisehandter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no/kalender/more-og-romsdal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ylkesmannen.no/Documents/Dokument%20FMMR/Kommunal%20styring/Kommunereforma/Milep%c3%a6lsplan%20-%20Fase%203.xls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ylkesmannen.no/Documents/Dokument%20FMMR/Kommunal%20styring/Kommunereforma/Vedleggsarkiv/Brev%20fra%20statsr&#229;d%20Jan%20Tore%20Sanner%20til%20kommunene.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ylkesmannen.no/nn/More-og-Romsdal/Kurs-og-konferansekalender/Kommunereformen---og-kommunal-beredskap-og-krisehandteri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83F6B-5854-4137-A0DE-B41619F8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814</Words>
  <Characters>4316</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Fylkesmannen</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Vigdis Rotlid Vestad</cp:lastModifiedBy>
  <cp:revision>3</cp:revision>
  <dcterms:created xsi:type="dcterms:W3CDTF">2015-10-30T11:15:00Z</dcterms:created>
  <dcterms:modified xsi:type="dcterms:W3CDTF">2015-10-30T11:44:00Z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Creator">
    <vt:lpwstr>Adobe InDesign CC 2014 (Macintosh)</vt:lpwstr>
  </property>
  <property fmtid="{D5CDD505-2E9C-101B-9397-08002B2CF9AE}" pid="4" name="LastSaved">
    <vt:filetime>2015-06-18T00:00:00Z</vt:filetime>
  </property>
</Properties>
</file>