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2FEF" w14:textId="77777777" w:rsidR="00F774B0" w:rsidRPr="00DC26F0" w:rsidRDefault="00F774B0" w:rsidP="00F774B0">
      <w:pPr>
        <w:pStyle w:val="Overskrift1"/>
        <w:rPr>
          <w:rFonts w:ascii="Times New Roman" w:eastAsia="Times New Roman" w:hAnsi="Times New Roman" w:cs="Times New Roman"/>
          <w:lang w:eastAsia="nb-NO"/>
        </w:rPr>
      </w:pPr>
      <w:r w:rsidRPr="6170E047">
        <w:rPr>
          <w:rStyle w:val="Overskrift1Tegn"/>
          <w:b/>
          <w:bCs/>
        </w:rPr>
        <w:t>Rutiner for søknad om fritak for taushetsplikt etter tvisteloven 22-3 og straffeprosessloven §§ 118 og 230 - vitneførsel og fremleggelse av taushetsbelagte dokumenter for domstolene</w:t>
      </w:r>
      <w:r w:rsidRPr="6170E047">
        <w:rPr>
          <w:rStyle w:val="Overskrift1Tegn"/>
        </w:rPr>
        <w:t xml:space="preserve"> </w:t>
      </w:r>
      <w:r>
        <w:br/>
      </w:r>
    </w:p>
    <w:p w14:paraId="1CC9CD7F" w14:textId="10737B58" w:rsidR="00F774B0" w:rsidRPr="00893156" w:rsidRDefault="00F774B0" w:rsidP="6170E047">
      <w:pPr>
        <w:rPr>
          <w:rFonts w:ascii="Times New Roman" w:eastAsia="Times New Roman" w:hAnsi="Times New Roman" w:cs="Times New Roman"/>
          <w:sz w:val="24"/>
          <w:szCs w:val="24"/>
          <w:lang w:eastAsia="nb-NO"/>
        </w:rPr>
      </w:pPr>
      <w:r>
        <w:t>Ansatte i barnehager, skoler, barnevern</w:t>
      </w:r>
      <w:r w:rsidR="5587B436">
        <w:t>tjeneste</w:t>
      </w:r>
      <w:r w:rsidR="1A157366">
        <w:t>r</w:t>
      </w:r>
      <w:r>
        <w:t>, sosialtjeneste</w:t>
      </w:r>
      <w:r w:rsidR="2461C33D">
        <w:t>r</w:t>
      </w:r>
      <w:r>
        <w:t xml:space="preserve"> og offentlig ansatt helsepersonell kan på grunn av taushetsplikten ikke forklare seg som vitner for domstol eller politi om forhold de har fått kjennskap til i sitt arbeid. </w:t>
      </w:r>
    </w:p>
    <w:p w14:paraId="392A42DF" w14:textId="454B4BC8" w:rsidR="00F774B0" w:rsidRPr="00893156" w:rsidRDefault="00F774B0" w:rsidP="6170E047">
      <w:pPr>
        <w:rPr>
          <w:rFonts w:ascii="Times New Roman" w:eastAsia="Times New Roman" w:hAnsi="Times New Roman" w:cs="Times New Roman"/>
          <w:sz w:val="24"/>
          <w:szCs w:val="24"/>
          <w:lang w:eastAsia="nb-NO"/>
        </w:rPr>
      </w:pPr>
      <w:r>
        <w:t>Taushetsplikten er regulert i</w:t>
      </w:r>
      <w:r w:rsidR="62FCFD06">
        <w:t>:</w:t>
      </w:r>
      <w:r>
        <w:t xml:space="preserve"> </w:t>
      </w:r>
    </w:p>
    <w:p w14:paraId="4F13E6B0" w14:textId="1626C5DD" w:rsidR="00F774B0" w:rsidRPr="00893156" w:rsidRDefault="00F774B0" w:rsidP="6170E047">
      <w:pPr>
        <w:pStyle w:val="Listeavsnitt"/>
        <w:numPr>
          <w:ilvl w:val="0"/>
          <w:numId w:val="3"/>
        </w:numPr>
        <w:rPr>
          <w:rFonts w:eastAsiaTheme="minorEastAsia"/>
          <w:lang w:eastAsia="nb-NO"/>
        </w:rPr>
      </w:pPr>
      <w:r>
        <w:t xml:space="preserve">barnehageloven § </w:t>
      </w:r>
      <w:r w:rsidR="2877D751">
        <w:t>44</w:t>
      </w:r>
    </w:p>
    <w:p w14:paraId="03C1D3C3" w14:textId="46FF473B" w:rsidR="00F774B0" w:rsidRPr="00893156" w:rsidRDefault="00F774B0" w:rsidP="6170E047">
      <w:pPr>
        <w:pStyle w:val="Listeavsnitt"/>
        <w:numPr>
          <w:ilvl w:val="0"/>
          <w:numId w:val="3"/>
        </w:numPr>
        <w:rPr>
          <w:rFonts w:eastAsiaTheme="minorEastAsia"/>
          <w:lang w:eastAsia="nb-NO"/>
        </w:rPr>
      </w:pPr>
      <w:r>
        <w:t>opplæringsloven § 15-1</w:t>
      </w:r>
    </w:p>
    <w:p w14:paraId="62A9CF12" w14:textId="0583C524" w:rsidR="00F774B0" w:rsidRPr="00893156" w:rsidRDefault="00F774B0" w:rsidP="48FF7A42">
      <w:pPr>
        <w:pStyle w:val="Listeavsnitt"/>
        <w:numPr>
          <w:ilvl w:val="0"/>
          <w:numId w:val="3"/>
        </w:numPr>
        <w:rPr>
          <w:rFonts w:eastAsiaTheme="minorEastAsia"/>
          <w:lang w:eastAsia="nb-NO"/>
        </w:rPr>
      </w:pPr>
      <w:r>
        <w:t>barnevern</w:t>
      </w:r>
      <w:r w:rsidR="4246AF43">
        <w:t>s</w:t>
      </w:r>
      <w:r>
        <w:t xml:space="preserve">loven § </w:t>
      </w:r>
      <w:r w:rsidR="3037D64C">
        <w:t>13-1</w:t>
      </w:r>
    </w:p>
    <w:p w14:paraId="49CFF5E3" w14:textId="35A500E9" w:rsidR="00F774B0" w:rsidRPr="00893156" w:rsidRDefault="00F774B0" w:rsidP="6170E047">
      <w:pPr>
        <w:pStyle w:val="Listeavsnitt"/>
        <w:numPr>
          <w:ilvl w:val="0"/>
          <w:numId w:val="3"/>
        </w:numPr>
        <w:rPr>
          <w:rFonts w:eastAsiaTheme="minorEastAsia"/>
          <w:lang w:eastAsia="nb-NO"/>
        </w:rPr>
      </w:pPr>
      <w:r>
        <w:t xml:space="preserve">sosialtjenesteloven § </w:t>
      </w:r>
      <w:r w:rsidR="05EABFE6">
        <w:t>44</w:t>
      </w:r>
    </w:p>
    <w:p w14:paraId="08FDE0F5" w14:textId="162FA894" w:rsidR="00F774B0" w:rsidRPr="00893156" w:rsidRDefault="00F774B0" w:rsidP="6170E047">
      <w:pPr>
        <w:pStyle w:val="Listeavsnitt"/>
        <w:numPr>
          <w:ilvl w:val="0"/>
          <w:numId w:val="3"/>
        </w:numPr>
        <w:rPr>
          <w:rFonts w:eastAsiaTheme="minorEastAsia"/>
          <w:lang w:eastAsia="nb-NO"/>
        </w:rPr>
      </w:pPr>
      <w:r>
        <w:t>helsepersonelloven § 21</w:t>
      </w:r>
    </w:p>
    <w:p w14:paraId="2E2125C9" w14:textId="61242302" w:rsidR="00F774B0" w:rsidRPr="00893156" w:rsidRDefault="68FFC1E7" w:rsidP="6170E047">
      <w:r>
        <w:t>Nevnte bestemmelser</w:t>
      </w:r>
      <w:r w:rsidR="00F774B0">
        <w:t xml:space="preserve"> henviser til taushetspliktreglene i forvaltningsloven §§ 13 til 13 e.</w:t>
      </w:r>
    </w:p>
    <w:p w14:paraId="4801D936" w14:textId="5B67CDBD" w:rsidR="00F774B0" w:rsidRPr="00893156" w:rsidRDefault="00F774B0" w:rsidP="6170E047">
      <w:pPr>
        <w:rPr>
          <w:rFonts w:ascii="Times New Roman" w:eastAsia="Times New Roman" w:hAnsi="Times New Roman" w:cs="Times New Roman"/>
          <w:sz w:val="24"/>
          <w:szCs w:val="24"/>
          <w:lang w:eastAsia="nb-NO"/>
        </w:rPr>
      </w:pPr>
      <w:r>
        <w:br/>
      </w:r>
      <w:r w:rsidR="53A5D023">
        <w:t xml:space="preserve">Den personen som har krav på taushet, kan frita den ansatte fra taushetsplikten. Dersom </w:t>
      </w:r>
      <w:r w:rsidR="68765648">
        <w:t xml:space="preserve">personen </w:t>
      </w:r>
      <w:r w:rsidR="53A5D023">
        <w:t>ikke samtykker</w:t>
      </w:r>
      <w:r w:rsidR="42935CE0">
        <w:t xml:space="preserve"> til dette</w:t>
      </w:r>
      <w:r w:rsidR="53A5D023">
        <w:t>, kan Statsforvalteren frita fra taushetsplikten etter søknad.</w:t>
      </w:r>
    </w:p>
    <w:p w14:paraId="6AF6921F" w14:textId="63931C76" w:rsidR="00F774B0" w:rsidRPr="00893156" w:rsidRDefault="00B33487" w:rsidP="6170E047">
      <w:pPr>
        <w:rPr>
          <w:rFonts w:ascii="Times New Roman" w:eastAsia="Times New Roman" w:hAnsi="Times New Roman" w:cs="Times New Roman"/>
          <w:sz w:val="24"/>
          <w:szCs w:val="24"/>
          <w:lang w:eastAsia="nb-NO"/>
        </w:rPr>
      </w:pPr>
      <w:r>
        <w:t>Statsforvalteren</w:t>
      </w:r>
      <w:r w:rsidR="00F774B0">
        <w:t xml:space="preserve"> kan nekte å samtykke til fritak for taushetsplikt når åpenbaringen vil kunne utsette staten eller allmenne interesser for skade eller virke urimelig overfor den som har krav på hemmelighold.</w:t>
      </w:r>
    </w:p>
    <w:p w14:paraId="13E1A20C" w14:textId="4508FDC7" w:rsidR="00F774B0" w:rsidRPr="00893156" w:rsidRDefault="74A53939" w:rsidP="6170E047">
      <w:pPr>
        <w:pStyle w:val="Listeavsnitt"/>
        <w:numPr>
          <w:ilvl w:val="0"/>
          <w:numId w:val="2"/>
        </w:numPr>
        <w:rPr>
          <w:rFonts w:eastAsiaTheme="minorEastAsia"/>
          <w:lang w:eastAsia="nb-NO"/>
        </w:rPr>
      </w:pPr>
      <w:r>
        <w:t>Statsforvalterens beslutning regnes ikke som vedtak i henhold til forvaltningsloven og er ikke gjenstand for klage.</w:t>
      </w:r>
    </w:p>
    <w:p w14:paraId="5E0C1CBA" w14:textId="56D11EE2" w:rsidR="00F774B0" w:rsidRPr="00893156" w:rsidRDefault="0B711501" w:rsidP="6170E047">
      <w:pPr>
        <w:pStyle w:val="Listeavsnitt"/>
        <w:numPr>
          <w:ilvl w:val="0"/>
          <w:numId w:val="2"/>
        </w:numPr>
        <w:rPr>
          <w:rFonts w:eastAsiaTheme="minorEastAsia"/>
          <w:lang w:eastAsia="nb-NO"/>
        </w:rPr>
      </w:pPr>
      <w:r>
        <w:t xml:space="preserve">Retten kan ved kjennelse bestemme at vitneforklaring skal gis selv om Statsforvalteren nekter å samtykke, eller at vitneforklaring ikke skal mottas selv om Statsforvalteren har samtykket. </w:t>
      </w:r>
    </w:p>
    <w:p w14:paraId="61B7277D" w14:textId="78010D83" w:rsidR="00F774B0" w:rsidRPr="00893156" w:rsidRDefault="00F774B0" w:rsidP="6170E047">
      <w:pPr>
        <w:pStyle w:val="Listeavsnitt"/>
        <w:numPr>
          <w:ilvl w:val="0"/>
          <w:numId w:val="2"/>
        </w:numPr>
        <w:rPr>
          <w:lang w:eastAsia="nb-NO"/>
        </w:rPr>
      </w:pPr>
      <w:r>
        <w:t xml:space="preserve">Når </w:t>
      </w:r>
      <w:r w:rsidR="00B33487">
        <w:t>Statsforvalteren</w:t>
      </w:r>
      <w:r>
        <w:t xml:space="preserve"> eller retten har fritatt vitnet for taushetsplikt, har vitnet plikt til å forklare seg </w:t>
      </w:r>
      <w:r w:rsidR="737E515E">
        <w:t>for</w:t>
      </w:r>
      <w:r>
        <w:t xml:space="preserve"> retten. Forklaringen skal skje for lukkede dører</w:t>
      </w:r>
      <w:r w:rsidR="39ECAE8F">
        <w:t>, jf. straffeprosessloven § 117</w:t>
      </w:r>
      <w:r w:rsidR="585673DC">
        <w:t>.</w:t>
      </w:r>
    </w:p>
    <w:p w14:paraId="292D26C4" w14:textId="6EE29B83" w:rsidR="00F774B0" w:rsidRPr="00893156" w:rsidRDefault="00F774B0" w:rsidP="426BC804">
      <w:pPr>
        <w:spacing w:after="0" w:line="240" w:lineRule="auto"/>
        <w:rPr>
          <w:rFonts w:ascii="Times New Roman" w:eastAsia="Times New Roman" w:hAnsi="Times New Roman" w:cs="Times New Roman"/>
          <w:sz w:val="24"/>
          <w:szCs w:val="24"/>
          <w:lang w:eastAsia="nb-NO"/>
        </w:rPr>
      </w:pPr>
    </w:p>
    <w:p w14:paraId="12B82E6D" w14:textId="5C7BE52C" w:rsidR="54755107" w:rsidRDefault="54755107" w:rsidP="6170E047">
      <w:r>
        <w:t xml:space="preserve">Det må søkes om fritak på </w:t>
      </w:r>
      <w:r w:rsidRPr="6170E047">
        <w:rPr>
          <w:b/>
          <w:bCs/>
        </w:rPr>
        <w:t>ethvert stadium</w:t>
      </w:r>
      <w:r>
        <w:t xml:space="preserve"> av saken</w:t>
      </w:r>
      <w:r w:rsidR="230C6148">
        <w:t xml:space="preserve">, dvs. at man ikke kan bruke det samme fritaket som </w:t>
      </w:r>
      <w:r w:rsidR="220B2D62">
        <w:t xml:space="preserve">er innhentet til vitneavhør under etterforskning, behandling i tingrett, behandling i lagmannsrett mv. </w:t>
      </w:r>
    </w:p>
    <w:p w14:paraId="342F4359" w14:textId="72F5948C" w:rsidR="6170E047" w:rsidRDefault="6170E047" w:rsidP="6170E047">
      <w:pPr>
        <w:spacing w:after="0" w:line="240" w:lineRule="auto"/>
        <w:rPr>
          <w:rFonts w:ascii="Times New Roman" w:eastAsia="Times New Roman" w:hAnsi="Times New Roman" w:cs="Times New Roman"/>
          <w:sz w:val="24"/>
          <w:szCs w:val="24"/>
          <w:lang w:eastAsia="nb-NO"/>
        </w:rPr>
      </w:pPr>
    </w:p>
    <w:p w14:paraId="75DFBE3F" w14:textId="41249B95" w:rsidR="75CCEEAF" w:rsidRDefault="75CCEEAF" w:rsidP="6170E047">
      <w:pPr>
        <w:rPr>
          <w:rFonts w:ascii="Times New Roman" w:eastAsia="Times New Roman" w:hAnsi="Times New Roman" w:cs="Times New Roman"/>
          <w:sz w:val="24"/>
          <w:szCs w:val="24"/>
          <w:lang w:eastAsia="nb-NO"/>
        </w:rPr>
      </w:pPr>
      <w:r>
        <w:t xml:space="preserve">Det må søkes om fritak for </w:t>
      </w:r>
      <w:r w:rsidRPr="6170E047">
        <w:rPr>
          <w:b/>
          <w:bCs/>
        </w:rPr>
        <w:t>navngitte personer</w:t>
      </w:r>
      <w:r>
        <w:t xml:space="preserve">, og ikke for en </w:t>
      </w:r>
      <w:r w:rsidR="06F719B2">
        <w:t xml:space="preserve">tjeneste i sin helhet. </w:t>
      </w:r>
    </w:p>
    <w:p w14:paraId="519EF9A4" w14:textId="395F7C02" w:rsidR="44903A94" w:rsidRDefault="44903A94" w:rsidP="44903A94">
      <w:pPr>
        <w:spacing w:after="0" w:line="240" w:lineRule="auto"/>
        <w:rPr>
          <w:rFonts w:ascii="Times New Roman" w:eastAsia="Times New Roman" w:hAnsi="Times New Roman" w:cs="Times New Roman"/>
          <w:sz w:val="24"/>
          <w:szCs w:val="24"/>
          <w:lang w:eastAsia="nb-NO"/>
        </w:rPr>
      </w:pPr>
    </w:p>
    <w:p w14:paraId="6F6EFFA3" w14:textId="75EFEE73" w:rsidR="1E559ED7" w:rsidRDefault="1E559ED7" w:rsidP="6170E047">
      <w:pPr>
        <w:rPr>
          <w:rFonts w:ascii="Times New Roman" w:eastAsia="Times New Roman" w:hAnsi="Times New Roman" w:cs="Times New Roman"/>
          <w:sz w:val="24"/>
          <w:szCs w:val="24"/>
          <w:lang w:eastAsia="nb-NO"/>
        </w:rPr>
      </w:pPr>
      <w:r>
        <w:t xml:space="preserve">Det er ikke nødvendig med fritak når fylkesnemnda eller domstolen behandler saker etter barnelova, jf. </w:t>
      </w:r>
      <w:r w:rsidR="360C32A3">
        <w:t xml:space="preserve">Bl. </w:t>
      </w:r>
      <w:r>
        <w:t>§ 61 a: «</w:t>
      </w:r>
      <w:r w:rsidRPr="48FF7A42">
        <w:rPr>
          <w:i/>
          <w:iCs/>
        </w:rPr>
        <w:t>Barnevernstenesta kan uhindra av teieplikta etter barnevern</w:t>
      </w:r>
      <w:r w:rsidR="0536E275" w:rsidRPr="48FF7A42">
        <w:rPr>
          <w:i/>
          <w:iCs/>
        </w:rPr>
        <w:t>s</w:t>
      </w:r>
      <w:r w:rsidRPr="48FF7A42">
        <w:rPr>
          <w:i/>
          <w:iCs/>
        </w:rPr>
        <w:t xml:space="preserve">loven § </w:t>
      </w:r>
      <w:r w:rsidR="281B355E" w:rsidRPr="48FF7A42">
        <w:rPr>
          <w:i/>
          <w:iCs/>
        </w:rPr>
        <w:t>13-1</w:t>
      </w:r>
      <w:r w:rsidRPr="48FF7A42">
        <w:rPr>
          <w:i/>
          <w:iCs/>
        </w:rPr>
        <w:t xml:space="preserve"> gi </w:t>
      </w:r>
      <w:proofErr w:type="spellStart"/>
      <w:r w:rsidRPr="48FF7A42">
        <w:rPr>
          <w:i/>
          <w:iCs/>
        </w:rPr>
        <w:t>opplysningar</w:t>
      </w:r>
      <w:proofErr w:type="spellEnd"/>
      <w:r w:rsidRPr="48FF7A42">
        <w:rPr>
          <w:i/>
          <w:iCs/>
        </w:rPr>
        <w:t xml:space="preserve"> til domstolen i sak om foreldreansvar, kvar barnet skal bu fast og samvær.</w:t>
      </w:r>
      <w:r>
        <w:t>» Dette gjelder kun for opplysninger om barna i den konkrete barnefordelingssaken, ikke for opplysninger om eventuelle særkullsbarn.</w:t>
      </w:r>
    </w:p>
    <w:p w14:paraId="6FD5B844" w14:textId="633B1967" w:rsidR="00F774B0" w:rsidRPr="00893156" w:rsidRDefault="00F774B0" w:rsidP="6170E047">
      <w:pPr>
        <w:pStyle w:val="Overskrift2"/>
        <w:rPr>
          <w:rFonts w:ascii="Cambria" w:hAnsi="Cambria"/>
          <w:b/>
          <w:bCs/>
          <w:lang w:eastAsia="nb-NO"/>
        </w:rPr>
      </w:pPr>
      <w:r>
        <w:lastRenderedPageBreak/>
        <w:br/>
      </w:r>
      <w:r w:rsidRPr="6170E047">
        <w:rPr>
          <w:b/>
          <w:bCs/>
        </w:rPr>
        <w:t>Samtykke etter forvaltningsloven § 13 a nr. 1</w:t>
      </w:r>
    </w:p>
    <w:p w14:paraId="08476508" w14:textId="185603E0" w:rsidR="00F774B0" w:rsidRPr="00893156" w:rsidRDefault="00F774B0" w:rsidP="4788EDEC">
      <w:pPr>
        <w:rPr>
          <w:rFonts w:ascii="Times New Roman" w:eastAsia="Times New Roman" w:hAnsi="Times New Roman" w:cs="Times New Roman"/>
          <w:sz w:val="24"/>
          <w:szCs w:val="24"/>
          <w:lang w:eastAsia="nb-NO"/>
        </w:rPr>
      </w:pPr>
      <w:r>
        <w:t>Hovedregelen er at den person</w:t>
      </w:r>
      <w:r w:rsidR="4A411AAB">
        <w:t>en</w:t>
      </w:r>
      <w:r>
        <w:t xml:space="preserve"> som har krav på taushet kan frita fra taushetsplikten. Når det foreligger informativt samtykke fra person</w:t>
      </w:r>
      <w:r w:rsidR="76D49093">
        <w:t>en</w:t>
      </w:r>
      <w:r>
        <w:t xml:space="preserve"> som har krav på taushet, er det ikke nødvendig at </w:t>
      </w:r>
      <w:r w:rsidR="00B33487">
        <w:t>Statsforvalteren</w:t>
      </w:r>
      <w:r>
        <w:t xml:space="preserve"> gir fritak i saken. </w:t>
      </w:r>
    </w:p>
    <w:p w14:paraId="69FBC64B" w14:textId="0A2147CD" w:rsidR="00F774B0" w:rsidRPr="00893156" w:rsidRDefault="515B8DEA" w:rsidP="6170E047">
      <w:r>
        <w:t>Før</w:t>
      </w:r>
      <w:r w:rsidR="00F774B0">
        <w:t xml:space="preserve"> saken tas opp med </w:t>
      </w:r>
      <w:r w:rsidR="00B33487">
        <w:t>Statsforvalteren</w:t>
      </w:r>
      <w:r w:rsidR="00F774B0">
        <w:t>,</w:t>
      </w:r>
      <w:r w:rsidR="64B7596C">
        <w:t xml:space="preserve"> må advokat</w:t>
      </w:r>
      <w:r w:rsidR="15E2D75E">
        <w:t>/</w:t>
      </w:r>
      <w:r w:rsidR="64B7596C">
        <w:t>politi</w:t>
      </w:r>
      <w:r w:rsidR="00F774B0">
        <w:t xml:space="preserve"> alltid forespørre om den person</w:t>
      </w:r>
      <w:r w:rsidR="275A596B">
        <w:t>en</w:t>
      </w:r>
      <w:r w:rsidR="00F774B0">
        <w:t xml:space="preserve"> som har krav på taushet fritar fra taushetsplikten etter </w:t>
      </w:r>
      <w:proofErr w:type="spellStart"/>
      <w:r w:rsidR="00F774B0">
        <w:t>fvl</w:t>
      </w:r>
      <w:proofErr w:type="spellEnd"/>
      <w:r w:rsidR="00F774B0">
        <w:t xml:space="preserve">. § 13 a nr. 1. For barn må dette avklares med den som har foreldreansvar eller </w:t>
      </w:r>
      <w:r w:rsidR="1FD82407">
        <w:t xml:space="preserve">den som </w:t>
      </w:r>
      <w:r w:rsidR="00F774B0">
        <w:t xml:space="preserve">er oppnevnt som verge. </w:t>
      </w:r>
    </w:p>
    <w:p w14:paraId="7C6EB9E5" w14:textId="5442EDDC" w:rsidR="00F774B0" w:rsidRPr="00893156" w:rsidRDefault="00F774B0" w:rsidP="6170E047">
      <w:pPr>
        <w:rPr>
          <w:rFonts w:ascii="Times New Roman" w:eastAsia="Times New Roman" w:hAnsi="Times New Roman" w:cs="Times New Roman"/>
          <w:sz w:val="24"/>
          <w:szCs w:val="24"/>
          <w:lang w:eastAsia="nb-NO"/>
        </w:rPr>
      </w:pPr>
      <w:r>
        <w:t xml:space="preserve">Advokat/politi tar direkte kontakt med vitnet når samtykke er gitt uten å gå veien om </w:t>
      </w:r>
      <w:r w:rsidR="00B33487">
        <w:t>Statsforvalteren</w:t>
      </w:r>
      <w:r>
        <w:t>.</w:t>
      </w:r>
      <w:r w:rsidR="14994686">
        <w:t xml:space="preserve"> </w:t>
      </w:r>
    </w:p>
    <w:p w14:paraId="48517CA5" w14:textId="3C57B57C" w:rsidR="00F774B0" w:rsidRPr="00893156" w:rsidRDefault="14994686" w:rsidP="4788EDEC">
      <w:pPr>
        <w:rPr>
          <w:rStyle w:val="Overskrift2Tegn"/>
        </w:rPr>
      </w:pPr>
      <w:r w:rsidRPr="4788EDEC">
        <w:rPr>
          <w:b/>
          <w:bCs/>
        </w:rPr>
        <w:t>Vær oppmerksom</w:t>
      </w:r>
      <w:r>
        <w:t xml:space="preserve"> </w:t>
      </w:r>
      <w:r w:rsidR="10819322" w:rsidRPr="4788EDEC">
        <w:rPr>
          <w:b/>
          <w:bCs/>
        </w:rPr>
        <w:t xml:space="preserve">på </w:t>
      </w:r>
      <w:r w:rsidR="0FA9DD10">
        <w:t>at det kan være andre personer enn de</w:t>
      </w:r>
      <w:r w:rsidR="65FA54BA">
        <w:t>n</w:t>
      </w:r>
      <w:r w:rsidR="0FA9DD10">
        <w:t xml:space="preserve"> som er omfattet av</w:t>
      </w:r>
      <w:r w:rsidR="08A944B4">
        <w:t xml:space="preserve"> </w:t>
      </w:r>
      <w:r w:rsidR="0FA9DD10">
        <w:t xml:space="preserve">straffesaken/tvistesaken som </w:t>
      </w:r>
      <w:r w:rsidR="7204AFDC">
        <w:t>har</w:t>
      </w:r>
      <w:r w:rsidR="0FA9DD10">
        <w:t xml:space="preserve"> krav på taushet. </w:t>
      </w:r>
      <w:r>
        <w:t xml:space="preserve">Alle personer som </w:t>
      </w:r>
      <w:r w:rsidR="4CD79553">
        <w:t xml:space="preserve">har krav på </w:t>
      </w:r>
      <w:proofErr w:type="gramStart"/>
      <w:r w:rsidR="4CD79553">
        <w:t>taushet</w:t>
      </w:r>
      <w:proofErr w:type="gramEnd"/>
      <w:r w:rsidR="4CD79553">
        <w:t xml:space="preserve"> må være forespurt om å samtykke. </w:t>
      </w:r>
    </w:p>
    <w:p w14:paraId="2555475C" w14:textId="3EF5A01B" w:rsidR="00F774B0" w:rsidRPr="00893156" w:rsidRDefault="42DB51A5" w:rsidP="6170E047">
      <w:pPr>
        <w:rPr>
          <w:rStyle w:val="Overskrift2Tegn"/>
        </w:rPr>
      </w:pPr>
      <w:r>
        <w:t>Statsforvalteren behandler som hovedregel ikke søknad om fritak fra taushetsplikt for det tilfellet at personen som har krav på taushet samtykker, men hvor politiet eller advokaten mistenker at samtykket trekkes på et senere tidspunkt. For at Statsforvalteren skal ta stilling til fritak i slike saker, kreves det en konkret begrunnelse utover en generell mistanke.</w:t>
      </w:r>
      <w:r w:rsidR="00F774B0">
        <w:br/>
      </w:r>
      <w:r w:rsidR="00F774B0">
        <w:br/>
      </w:r>
      <w:r w:rsidR="00F774B0" w:rsidRPr="4788EDEC">
        <w:rPr>
          <w:rStyle w:val="Overskrift2Tegn"/>
          <w:b/>
          <w:bCs/>
        </w:rPr>
        <w:t xml:space="preserve">Søknad til </w:t>
      </w:r>
      <w:r w:rsidR="00B33487" w:rsidRPr="4788EDEC">
        <w:rPr>
          <w:rStyle w:val="Overskrift2Tegn"/>
          <w:b/>
          <w:bCs/>
        </w:rPr>
        <w:t>Statsforvalteren</w:t>
      </w:r>
    </w:p>
    <w:p w14:paraId="750AFDBD" w14:textId="604A9AC4" w:rsidR="00F774B0" w:rsidRPr="00893156" w:rsidRDefault="00F774B0" w:rsidP="6170E047">
      <w:pPr>
        <w:rPr>
          <w:rFonts w:ascii="Times New Roman" w:eastAsia="Times New Roman" w:hAnsi="Times New Roman" w:cs="Times New Roman"/>
          <w:sz w:val="24"/>
          <w:szCs w:val="24"/>
          <w:lang w:eastAsia="nb-NO"/>
        </w:rPr>
      </w:pPr>
      <w:r>
        <w:t xml:space="preserve">Ved rettslige avhør er det i prinsippet retten som skal anmode om å </w:t>
      </w:r>
      <w:r w:rsidR="63726270">
        <w:t xml:space="preserve">frita </w:t>
      </w:r>
      <w:r>
        <w:t>vitnet fra taushetsplikten. I praksis godtas at partenes prosessfullmektiger eller aktor søker om fritakelse som en konsekvens av at disse også sørger for innkalling av vitnene. Ved forklaring til politiet er det politiet som søker om fritak for taushetsplikt.</w:t>
      </w:r>
    </w:p>
    <w:p w14:paraId="663AB1EE" w14:textId="0E2C31B7" w:rsidR="426BC804" w:rsidRDefault="426BC804" w:rsidP="426BC804">
      <w:pPr>
        <w:spacing w:after="0" w:line="240" w:lineRule="auto"/>
        <w:rPr>
          <w:rFonts w:ascii="Times New Roman" w:eastAsia="Times New Roman" w:hAnsi="Times New Roman" w:cs="Times New Roman"/>
          <w:sz w:val="24"/>
          <w:szCs w:val="24"/>
          <w:lang w:eastAsia="nb-NO"/>
        </w:rPr>
      </w:pPr>
    </w:p>
    <w:p w14:paraId="41B5315F" w14:textId="46F30703" w:rsidR="00F774B0" w:rsidRPr="00893156" w:rsidRDefault="00F774B0" w:rsidP="6170E047">
      <w:pPr>
        <w:pStyle w:val="Overskrift3"/>
        <w:rPr>
          <w:rFonts w:ascii="Cambria" w:hAnsi="Cambria"/>
          <w:b/>
          <w:bCs/>
          <w:color w:val="243F60"/>
          <w:lang w:eastAsia="nb-NO"/>
        </w:rPr>
      </w:pPr>
      <w:r w:rsidRPr="23D15AE0">
        <w:rPr>
          <w:b/>
          <w:bCs/>
        </w:rPr>
        <w:t>Innhold</w:t>
      </w:r>
      <w:r w:rsidR="7C1F0B8D" w:rsidRPr="23D15AE0">
        <w:rPr>
          <w:b/>
          <w:bCs/>
        </w:rPr>
        <w:t xml:space="preserve"> i søknaden</w:t>
      </w:r>
      <w:r w:rsidRPr="23D15AE0">
        <w:rPr>
          <w:b/>
          <w:bCs/>
        </w:rPr>
        <w:t>:</w:t>
      </w:r>
    </w:p>
    <w:p w14:paraId="5F33F123" w14:textId="262118CB" w:rsidR="00F774B0" w:rsidRPr="00DC26F0" w:rsidRDefault="00F774B0" w:rsidP="4788EDEC">
      <w:pPr>
        <w:pStyle w:val="Listeavsnitt"/>
        <w:numPr>
          <w:ilvl w:val="0"/>
          <w:numId w:val="6"/>
        </w:numPr>
        <w:rPr>
          <w:rFonts w:eastAsiaTheme="minorEastAsia"/>
          <w:lang w:eastAsia="nb-NO"/>
        </w:rPr>
      </w:pPr>
      <w:r>
        <w:t>Det skal opplyses om person</w:t>
      </w:r>
      <w:r w:rsidR="0004C667">
        <w:t>en</w:t>
      </w:r>
      <w:r w:rsidR="6B627AEF">
        <w:t>/-</w:t>
      </w:r>
      <w:r>
        <w:t>er som har krav på taushet er forespurt om å samtykke eller hvorfor samtykke ikke er forsøkt innhentet</w:t>
      </w:r>
      <w:r w:rsidR="241D1810">
        <w:t xml:space="preserve">, og hva som eventuelt er begrunnelsen for å nekte å samtykke. </w:t>
      </w:r>
    </w:p>
    <w:p w14:paraId="66B6AD92" w14:textId="0D5871DA" w:rsidR="00F774B0" w:rsidRPr="00DC26F0" w:rsidRDefault="00F774B0" w:rsidP="6170E047">
      <w:pPr>
        <w:pStyle w:val="Listeavsnitt"/>
        <w:numPr>
          <w:ilvl w:val="0"/>
          <w:numId w:val="6"/>
        </w:numPr>
        <w:rPr>
          <w:rFonts w:eastAsiaTheme="minorEastAsia"/>
          <w:lang w:eastAsia="nb-NO"/>
        </w:rPr>
      </w:pPr>
      <w:r>
        <w:t>Navn, arbeidssted for vitnet og kort redegjørelse for hva vitnet skal forklare seg om.</w:t>
      </w:r>
      <w:r w:rsidR="5D0116D2">
        <w:t xml:space="preserve"> Hvilken betydning har avhøret/vitneforklaringen/dokumentene for saken? </w:t>
      </w:r>
    </w:p>
    <w:p w14:paraId="0EA676D9" w14:textId="3778534B" w:rsidR="00F774B0" w:rsidRDefault="00F774B0" w:rsidP="6170E047">
      <w:pPr>
        <w:pStyle w:val="Listeavsnitt"/>
        <w:numPr>
          <w:ilvl w:val="0"/>
          <w:numId w:val="6"/>
        </w:numPr>
        <w:rPr>
          <w:rFonts w:eastAsiaTheme="minorEastAsia"/>
          <w:lang w:eastAsia="nb-NO"/>
        </w:rPr>
      </w:pPr>
      <w:r>
        <w:t>Hvilken domstol</w:t>
      </w:r>
      <w:r w:rsidR="71FC16E6">
        <w:t>/hvilket politidistrikt</w:t>
      </w:r>
      <w:r>
        <w:t xml:space="preserve"> som behandler saken, saksnummer og dato for berammelse i retten</w:t>
      </w:r>
      <w:r w:rsidR="5387BD58">
        <w:t>/avhør hos politiet</w:t>
      </w:r>
      <w:r>
        <w:t>.</w:t>
      </w:r>
      <w:r w:rsidR="0AA1DC03">
        <w:t xml:space="preserve"> Kort info om tiltalepunkter eller hva saken gjelder. </w:t>
      </w:r>
    </w:p>
    <w:p w14:paraId="264A018C" w14:textId="2CB73844" w:rsidR="426BC804" w:rsidRDefault="426BC804" w:rsidP="426BC804">
      <w:pPr>
        <w:spacing w:beforeAutospacing="1" w:afterAutospacing="1" w:line="240" w:lineRule="auto"/>
        <w:rPr>
          <w:rFonts w:ascii="Times New Roman" w:eastAsia="Times New Roman" w:hAnsi="Times New Roman" w:cs="Times New Roman"/>
          <w:sz w:val="24"/>
          <w:szCs w:val="24"/>
          <w:lang w:eastAsia="nb-NO"/>
        </w:rPr>
      </w:pPr>
    </w:p>
    <w:p w14:paraId="35D6A1AB" w14:textId="77777777" w:rsidR="00F774B0" w:rsidRPr="00893156" w:rsidRDefault="00F774B0" w:rsidP="6170E047">
      <w:pPr>
        <w:pStyle w:val="Overskrift3"/>
        <w:rPr>
          <w:rFonts w:ascii="Cambria" w:hAnsi="Cambria"/>
          <w:b/>
          <w:bCs/>
          <w:color w:val="243F60"/>
          <w:lang w:eastAsia="nb-NO"/>
        </w:rPr>
      </w:pPr>
      <w:r w:rsidRPr="6170E047">
        <w:rPr>
          <w:b/>
          <w:bCs/>
        </w:rPr>
        <w:t>Vedlegg:</w:t>
      </w:r>
    </w:p>
    <w:p w14:paraId="0604ED13" w14:textId="77777777" w:rsidR="00F774B0" w:rsidRPr="00893156" w:rsidRDefault="00F774B0" w:rsidP="6170E047">
      <w:pPr>
        <w:pStyle w:val="Listeavsnitt"/>
        <w:numPr>
          <w:ilvl w:val="0"/>
          <w:numId w:val="8"/>
        </w:numPr>
        <w:rPr>
          <w:rFonts w:eastAsiaTheme="minorEastAsia"/>
          <w:lang w:eastAsia="nb-NO"/>
        </w:rPr>
      </w:pPr>
      <w:r>
        <w:t>Stevning og tilsvar eller tiltalebeslutning.</w:t>
      </w:r>
    </w:p>
    <w:p w14:paraId="72F947A4" w14:textId="1254D658" w:rsidR="00F774B0" w:rsidRDefault="00F774B0" w:rsidP="6170E047">
      <w:pPr>
        <w:pStyle w:val="Listeavsnitt"/>
        <w:numPr>
          <w:ilvl w:val="0"/>
          <w:numId w:val="8"/>
        </w:numPr>
        <w:rPr>
          <w:rFonts w:eastAsiaTheme="minorEastAsia"/>
          <w:lang w:eastAsia="nb-NO"/>
        </w:rPr>
      </w:pPr>
      <w:proofErr w:type="spellStart"/>
      <w:r>
        <w:t>Uttalelse</w:t>
      </w:r>
      <w:proofErr w:type="spellEnd"/>
      <w:r>
        <w:t xml:space="preserve"> fra </w:t>
      </w:r>
      <w:r w:rsidR="67BED270">
        <w:t>vitnet</w:t>
      </w:r>
      <w:r>
        <w:t xml:space="preserve"> som skal fritas fra taushetsplikt og vedkommende</w:t>
      </w:r>
      <w:r w:rsidR="10629183">
        <w:t xml:space="preserve"> </w:t>
      </w:r>
      <w:r>
        <w:t>s</w:t>
      </w:r>
      <w:r w:rsidR="740892F7">
        <w:t>in</w:t>
      </w:r>
      <w:r>
        <w:t xml:space="preserve"> leder</w:t>
      </w:r>
      <w:r w:rsidR="4AB4ED88">
        <w:t xml:space="preserve">. Relevant uttalelse fra vitnet og vitnets leder vil være om </w:t>
      </w:r>
      <w:r w:rsidR="38F8574A" w:rsidRPr="6170E047">
        <w:t>«</w:t>
      </w:r>
      <w:r w:rsidR="38F8574A" w:rsidRPr="6170E047">
        <w:rPr>
          <w:i/>
          <w:iCs/>
        </w:rPr>
        <w:t>det vil virke urimelig overfor den som opplysningene gjelder</w:t>
      </w:r>
      <w:r w:rsidR="38F8574A" w:rsidRPr="6170E047">
        <w:t>»</w:t>
      </w:r>
      <w:r w:rsidR="4AB4ED88">
        <w:t xml:space="preserve"> at vitnet forklarer seg.</w:t>
      </w:r>
      <w:r>
        <w:t xml:space="preserve"> </w:t>
      </w:r>
    </w:p>
    <w:p w14:paraId="59A3F7E0" w14:textId="544539FB" w:rsidR="00F774B0" w:rsidRPr="00DC26F0" w:rsidRDefault="1E759D30" w:rsidP="6170E047">
      <w:pPr>
        <w:pStyle w:val="Listeavsnitt"/>
        <w:numPr>
          <w:ilvl w:val="1"/>
          <w:numId w:val="8"/>
        </w:numPr>
        <w:rPr>
          <w:rFonts w:eastAsiaTheme="minorEastAsia"/>
          <w:lang w:eastAsia="nb-NO"/>
        </w:rPr>
      </w:pPr>
      <w:r>
        <w:t xml:space="preserve">Dersom </w:t>
      </w:r>
      <w:r w:rsidR="3D937312">
        <w:t xml:space="preserve">vitnet eller </w:t>
      </w:r>
      <w:r>
        <w:t>leder mener å ikke ha forutsetninger for å svare på dette eller</w:t>
      </w:r>
      <w:r w:rsidR="5DF86DDD">
        <w:t xml:space="preserve"> </w:t>
      </w:r>
      <w:r>
        <w:t>mener at det ikke vil virke urimelig</w:t>
      </w:r>
      <w:r w:rsidR="67AFEB1A">
        <w:t>,</w:t>
      </w:r>
      <w:r>
        <w:t xml:space="preserve"> kan dette besvares kort. </w:t>
      </w:r>
    </w:p>
    <w:p w14:paraId="16F116B7" w14:textId="5582EA8E" w:rsidR="1E759D30" w:rsidRDefault="1E759D30" w:rsidP="6170E047">
      <w:pPr>
        <w:pStyle w:val="Listeavsnitt"/>
        <w:numPr>
          <w:ilvl w:val="1"/>
          <w:numId w:val="8"/>
        </w:numPr>
        <w:rPr>
          <w:rFonts w:eastAsiaTheme="minorEastAsia"/>
          <w:lang w:eastAsia="nb-NO"/>
        </w:rPr>
      </w:pPr>
      <w:r>
        <w:t>Dersom</w:t>
      </w:r>
      <w:r w:rsidR="4BE23C0C">
        <w:t xml:space="preserve"> vitnet eller</w:t>
      </w:r>
      <w:r>
        <w:t xml:space="preserve"> leder mener vitneførsel ikke er tilrådelig</w:t>
      </w:r>
      <w:r w:rsidR="1ADD6422">
        <w:t>,</w:t>
      </w:r>
      <w:r>
        <w:t xml:space="preserve"> skal dette begrunnes. I</w:t>
      </w:r>
      <w:r w:rsidR="02E708EE">
        <w:t xml:space="preserve"> </w:t>
      </w:r>
      <w:r>
        <w:t>uttalelsen bør det i korte trekk gjøres rede for hva kontakten med dem som har krav på</w:t>
      </w:r>
      <w:r w:rsidR="614DAED6">
        <w:t xml:space="preserve"> </w:t>
      </w:r>
      <w:r>
        <w:t xml:space="preserve">taushet har bestått i, og hvordan man vurderer konsekvensene av vitneførsel. </w:t>
      </w:r>
    </w:p>
    <w:p w14:paraId="2F021396" w14:textId="6016738D" w:rsidR="44903A94" w:rsidRDefault="44903A94" w:rsidP="44903A94">
      <w:pPr>
        <w:spacing w:beforeAutospacing="1" w:afterAutospacing="1" w:line="240" w:lineRule="auto"/>
        <w:rPr>
          <w:rFonts w:ascii="Times New Roman" w:eastAsia="Times New Roman" w:hAnsi="Times New Roman" w:cs="Times New Roman"/>
          <w:sz w:val="24"/>
          <w:szCs w:val="24"/>
          <w:lang w:eastAsia="nb-NO"/>
        </w:rPr>
      </w:pPr>
    </w:p>
    <w:p w14:paraId="2A0525D1" w14:textId="3E13E20A" w:rsidR="00F774B0" w:rsidRPr="00DC26F0" w:rsidRDefault="00F774B0" w:rsidP="6170E047">
      <w:pPr>
        <w:pStyle w:val="Overskrift3"/>
        <w:rPr>
          <w:rFonts w:ascii="Cambria" w:hAnsi="Cambria"/>
          <w:b/>
          <w:bCs/>
          <w:color w:val="243F60"/>
          <w:lang w:eastAsia="nb-NO"/>
        </w:rPr>
      </w:pPr>
      <w:r w:rsidRPr="6170E047">
        <w:rPr>
          <w:b/>
          <w:bCs/>
        </w:rPr>
        <w:t xml:space="preserve">Fritak for dokumenter – tvisteloven § 22-3 </w:t>
      </w:r>
    </w:p>
    <w:p w14:paraId="3452EC9B" w14:textId="43E65749" w:rsidR="00F774B0" w:rsidRPr="00DC26F0" w:rsidRDefault="00F774B0" w:rsidP="6170E047">
      <w:pPr>
        <w:rPr>
          <w:rFonts w:ascii="Times New Roman" w:eastAsia="Times New Roman" w:hAnsi="Times New Roman" w:cs="Times New Roman"/>
          <w:b/>
          <w:bCs/>
          <w:sz w:val="24"/>
          <w:szCs w:val="24"/>
          <w:lang w:eastAsia="nb-NO"/>
        </w:rPr>
      </w:pPr>
      <w:r>
        <w:t xml:space="preserve">Etter forvaltningsloven § 13 a nr. 1 kan person som har krav på taushet frita </w:t>
      </w:r>
      <w:r w:rsidR="1BA51439">
        <w:t xml:space="preserve">dokumenter </w:t>
      </w:r>
      <w:r>
        <w:t xml:space="preserve">for fremleggelse i retten. Dersom fritak ikke gis etter forvaltningsloven, må </w:t>
      </w:r>
      <w:r w:rsidR="00B33487">
        <w:t>Statsforvalteren</w:t>
      </w:r>
      <w:r>
        <w:t xml:space="preserve"> frita dokumentene. </w:t>
      </w:r>
    </w:p>
    <w:p w14:paraId="3D06353C" w14:textId="56CFC83F" w:rsidR="00F774B0" w:rsidRPr="00DC26F0" w:rsidRDefault="00F774B0" w:rsidP="6170E047">
      <w:pPr>
        <w:rPr>
          <w:rFonts w:ascii="Times New Roman" w:eastAsia="Times New Roman" w:hAnsi="Times New Roman" w:cs="Times New Roman"/>
          <w:b/>
          <w:bCs/>
          <w:sz w:val="24"/>
          <w:szCs w:val="24"/>
          <w:lang w:eastAsia="nb-NO"/>
        </w:rPr>
      </w:pPr>
      <w:r>
        <w:t>Søknad sendes barneverntjenesten</w:t>
      </w:r>
      <w:r w:rsidR="64C1AF5A">
        <w:t>/sosialtjenesten</w:t>
      </w:r>
      <w:r w:rsidR="18A7B184">
        <w:t>/skolen/barnehagen</w:t>
      </w:r>
      <w:r>
        <w:t xml:space="preserve">. </w:t>
      </w:r>
      <w:r w:rsidR="0B587A8B">
        <w:t xml:space="preserve">Tjenesten </w:t>
      </w:r>
      <w:r>
        <w:t xml:space="preserve">videresender søknaden med kopi av dokumentene til </w:t>
      </w:r>
      <w:r w:rsidR="00B33487">
        <w:t>Statsforvalteren</w:t>
      </w:r>
      <w:r>
        <w:t xml:space="preserve">. I tillegg </w:t>
      </w:r>
      <w:r w:rsidR="41D6589B">
        <w:t xml:space="preserve">vedlegges </w:t>
      </w:r>
      <w:r>
        <w:t xml:space="preserve">informasjon og </w:t>
      </w:r>
      <w:r w:rsidR="57068875">
        <w:t>uttalelser</w:t>
      </w:r>
      <w:r w:rsidR="39E544BB">
        <w:t xml:space="preserve"> fra tjenesten</w:t>
      </w:r>
      <w:r w:rsidR="57068875">
        <w:t xml:space="preserve"> </w:t>
      </w:r>
      <w:r>
        <w:t>som er nevnt ovenfor.</w:t>
      </w:r>
      <w:r w:rsidR="432E219F">
        <w:t xml:space="preserve"> </w:t>
      </w:r>
    </w:p>
    <w:p w14:paraId="16D15D34" w14:textId="7D6F5BD5" w:rsidR="00F774B0" w:rsidRPr="00DC26F0" w:rsidRDefault="432E219F" w:rsidP="6170E047">
      <w:pPr>
        <w:rPr>
          <w:rFonts w:ascii="Times New Roman" w:eastAsia="Times New Roman" w:hAnsi="Times New Roman" w:cs="Times New Roman"/>
          <w:b/>
          <w:bCs/>
          <w:sz w:val="24"/>
          <w:szCs w:val="24"/>
          <w:lang w:eastAsia="nb-NO"/>
        </w:rPr>
      </w:pPr>
      <w:r>
        <w:t>I sake</w:t>
      </w:r>
      <w:r w:rsidR="29776DE7">
        <w:t>r</w:t>
      </w:r>
      <w:r>
        <w:t xml:space="preserve"> der en advokat har mottatt dokumentene som ønskes fritatt, sendes saken direkte til Statsforvalteren vedlagt uttalelse fra tjenesten.</w:t>
      </w:r>
    </w:p>
    <w:p w14:paraId="7C378429" w14:textId="42289CDF" w:rsidR="00F774B0" w:rsidRPr="00DC26F0" w:rsidRDefault="00F774B0" w:rsidP="44903A94">
      <w:pPr>
        <w:spacing w:before="100" w:beforeAutospacing="1" w:after="100" w:afterAutospacing="1" w:line="240" w:lineRule="auto"/>
      </w:pPr>
    </w:p>
    <w:p w14:paraId="369EE3A4" w14:textId="1F23A66A" w:rsidR="00F774B0" w:rsidRPr="00DC26F0" w:rsidRDefault="6A28D0D0" w:rsidP="6170E047">
      <w:pPr>
        <w:rPr>
          <w:rFonts w:ascii="Times New Roman" w:eastAsia="Times New Roman" w:hAnsi="Times New Roman" w:cs="Times New Roman"/>
          <w:b/>
          <w:bCs/>
          <w:sz w:val="24"/>
          <w:szCs w:val="24"/>
          <w:lang w:eastAsia="nb-NO"/>
        </w:rPr>
      </w:pPr>
      <w:r w:rsidRPr="23D15AE0">
        <w:rPr>
          <w:b/>
          <w:bCs/>
        </w:rPr>
        <w:t xml:space="preserve">NB! Dersom det er </w:t>
      </w:r>
      <w:r w:rsidR="0AA9B527" w:rsidRPr="23D15AE0">
        <w:rPr>
          <w:b/>
          <w:bCs/>
        </w:rPr>
        <w:t xml:space="preserve">et </w:t>
      </w:r>
      <w:r w:rsidRPr="23D15AE0">
        <w:rPr>
          <w:b/>
          <w:bCs/>
        </w:rPr>
        <w:t>omfattende antall dokumenter, bør det beregnes lengre</w:t>
      </w:r>
      <w:r w:rsidR="68C0AA86" w:rsidRPr="23D15AE0">
        <w:rPr>
          <w:b/>
          <w:bCs/>
        </w:rPr>
        <w:t xml:space="preserve"> </w:t>
      </w:r>
      <w:r w:rsidRPr="23D15AE0">
        <w:rPr>
          <w:b/>
          <w:bCs/>
        </w:rPr>
        <w:t>saksbehandlingstid</w:t>
      </w:r>
      <w:r w:rsidR="72884AF3" w:rsidRPr="23D15AE0">
        <w:rPr>
          <w:b/>
          <w:bCs/>
        </w:rPr>
        <w:t xml:space="preserve"> hos Statsforvalteren</w:t>
      </w:r>
      <w:r w:rsidRPr="23D15AE0">
        <w:rPr>
          <w:b/>
          <w:bCs/>
        </w:rPr>
        <w:t xml:space="preserve">. </w:t>
      </w:r>
      <w:r w:rsidR="00F774B0">
        <w:br/>
      </w:r>
    </w:p>
    <w:p w14:paraId="32110E89" w14:textId="51589D2D" w:rsidR="00F774B0" w:rsidRDefault="00F774B0" w:rsidP="6170E047">
      <w:pPr>
        <w:pStyle w:val="Overskrift3"/>
        <w:rPr>
          <w:rFonts w:ascii="Cambria" w:hAnsi="Cambria"/>
          <w:b/>
          <w:bCs/>
          <w:color w:val="243F60"/>
          <w:lang w:eastAsia="nb-NO"/>
        </w:rPr>
      </w:pPr>
      <w:r w:rsidRPr="6170E047">
        <w:rPr>
          <w:b/>
          <w:bCs/>
        </w:rPr>
        <w:t>Tidspunkt for søknad</w:t>
      </w:r>
    </w:p>
    <w:p w14:paraId="233B3208" w14:textId="2BAD0B3D" w:rsidR="00F774B0" w:rsidRDefault="00F774B0" w:rsidP="6170E047">
      <w:pPr>
        <w:rPr>
          <w:rFonts w:ascii="Times New Roman" w:eastAsia="Times New Roman" w:hAnsi="Times New Roman" w:cs="Times New Roman"/>
          <w:sz w:val="24"/>
          <w:szCs w:val="24"/>
          <w:lang w:eastAsia="nb-NO"/>
        </w:rPr>
      </w:pPr>
      <w:r>
        <w:t xml:space="preserve">Søknad må sendes </w:t>
      </w:r>
      <w:r w:rsidR="00B33487">
        <w:t>Statsforvalteren</w:t>
      </w:r>
      <w:r>
        <w:t xml:space="preserve"> </w:t>
      </w:r>
      <w:r w:rsidRPr="6170E047">
        <w:rPr>
          <w:b/>
          <w:bCs/>
        </w:rPr>
        <w:t>3 uker før saken skal behandles i retten</w:t>
      </w:r>
      <w:r>
        <w:t xml:space="preserve">. Søknad som mottas mindre enn </w:t>
      </w:r>
      <w:r w:rsidR="56065DA8">
        <w:t>é</w:t>
      </w:r>
      <w:r>
        <w:t xml:space="preserve">n uke før rettssaken, kan ikke </w:t>
      </w:r>
      <w:proofErr w:type="gramStart"/>
      <w:r>
        <w:t>påregnes</w:t>
      </w:r>
      <w:proofErr w:type="gramEnd"/>
      <w:r>
        <w:t xml:space="preserve"> ferdigbehandlet i tide. Det må i ankesaker innsendes ny søknad om fritak for taushetsplikt.</w:t>
      </w:r>
    </w:p>
    <w:p w14:paraId="3BDBFE33" w14:textId="3B21B0E9" w:rsidR="44903A94" w:rsidRDefault="44903A94" w:rsidP="6170E047">
      <w:pPr>
        <w:spacing w:beforeAutospacing="1" w:afterAutospacing="1" w:line="240" w:lineRule="auto"/>
        <w:rPr>
          <w:rFonts w:ascii="Times New Roman" w:eastAsia="Times New Roman" w:hAnsi="Times New Roman" w:cs="Times New Roman"/>
          <w:b/>
          <w:bCs/>
          <w:sz w:val="24"/>
          <w:szCs w:val="24"/>
          <w:lang w:eastAsia="nb-NO"/>
        </w:rPr>
      </w:pPr>
      <w:r>
        <w:br/>
      </w:r>
      <w:r w:rsidR="67F6CD55" w:rsidRPr="6170E047">
        <w:rPr>
          <w:rStyle w:val="Overskrift2Tegn"/>
          <w:b/>
          <w:bCs/>
        </w:rPr>
        <w:t xml:space="preserve">Henvendelser: </w:t>
      </w:r>
    </w:p>
    <w:p w14:paraId="3622598C" w14:textId="663EF009" w:rsidR="44903A94" w:rsidRDefault="75F4C9B2" w:rsidP="6170E047">
      <w:pPr>
        <w:pStyle w:val="Listeavsnitt"/>
        <w:numPr>
          <w:ilvl w:val="0"/>
          <w:numId w:val="1"/>
        </w:numPr>
        <w:rPr>
          <w:rFonts w:eastAsiaTheme="minorEastAsia"/>
          <w:lang w:eastAsia="nb-NO"/>
        </w:rPr>
      </w:pPr>
      <w:r>
        <w:t>For offentlig ansatt</w:t>
      </w:r>
      <w:r w:rsidR="00F774B0">
        <w:t xml:space="preserve"> helsepersonell</w:t>
      </w:r>
      <w:r w:rsidR="278602FF">
        <w:t xml:space="preserve"> </w:t>
      </w:r>
      <w:r w:rsidR="6A9A58A9">
        <w:t xml:space="preserve">kontaktes </w:t>
      </w:r>
      <w:r w:rsidR="00B33487">
        <w:t>Statsforvalteren</w:t>
      </w:r>
      <w:r w:rsidR="00F774B0">
        <w:t>s helseavdeling</w:t>
      </w:r>
    </w:p>
    <w:p w14:paraId="22698066" w14:textId="313471A0" w:rsidR="44903A94" w:rsidRDefault="14753432" w:rsidP="6170E047">
      <w:pPr>
        <w:pStyle w:val="Listeavsnitt"/>
        <w:numPr>
          <w:ilvl w:val="0"/>
          <w:numId w:val="1"/>
        </w:numPr>
        <w:rPr>
          <w:rFonts w:eastAsiaTheme="minorEastAsia"/>
          <w:lang w:eastAsia="nb-NO"/>
        </w:rPr>
      </w:pPr>
      <w:r>
        <w:t>F</w:t>
      </w:r>
      <w:r w:rsidR="56695734">
        <w:t>or ansatte i barnehage og skole kontaktes Statsforvalterens barnehage- og utdanningsavdeling</w:t>
      </w:r>
    </w:p>
    <w:p w14:paraId="69544B42" w14:textId="71000CF1" w:rsidR="6CE535E2" w:rsidRDefault="6CE535E2" w:rsidP="6170E047">
      <w:pPr>
        <w:pStyle w:val="Listeavsnitt"/>
        <w:numPr>
          <w:ilvl w:val="0"/>
          <w:numId w:val="1"/>
        </w:numPr>
        <w:rPr>
          <w:rFonts w:eastAsiaTheme="minorEastAsia"/>
        </w:rPr>
      </w:pPr>
      <w:r>
        <w:t xml:space="preserve">For ansatte i barneverntjenesten og sosialtjenesten </w:t>
      </w:r>
      <w:r w:rsidR="65E0A085">
        <w:t>kontaktes</w:t>
      </w:r>
      <w:r>
        <w:t xml:space="preserve"> Statsforvalterens </w:t>
      </w:r>
      <w:r w:rsidR="3DB921CD">
        <w:t>s</w:t>
      </w:r>
      <w:r>
        <w:t>osial- og barnevernsavdeling</w:t>
      </w:r>
    </w:p>
    <w:p w14:paraId="268C23EE" w14:textId="3A4B91B0" w:rsidR="44903A94" w:rsidRDefault="44903A94" w:rsidP="6170E047">
      <w:pPr>
        <w:spacing w:beforeAutospacing="1" w:afterAutospacing="1" w:line="240" w:lineRule="auto"/>
        <w:jc w:val="center"/>
      </w:pPr>
    </w:p>
    <w:p w14:paraId="2EE98C0A" w14:textId="77777777" w:rsidR="001412DC" w:rsidRPr="00DC26F0" w:rsidRDefault="007C7194" w:rsidP="00F774B0">
      <w:pPr>
        <w:spacing w:before="100" w:beforeAutospacing="1" w:after="100" w:afterAutospacing="1" w:line="240" w:lineRule="auto"/>
        <w:rPr>
          <w:rFonts w:ascii="Times New Roman" w:eastAsia="Times New Roman" w:hAnsi="Times New Roman" w:cs="Times New Roman"/>
          <w:b/>
          <w:bCs/>
          <w:sz w:val="24"/>
          <w:szCs w:val="24"/>
          <w:lang w:eastAsia="nb-NO"/>
        </w:rPr>
      </w:pPr>
      <w:r>
        <w:rPr>
          <w:sz w:val="24"/>
          <w:szCs w:val="24"/>
        </w:rPr>
        <w:pict w14:anchorId="26E36C2C">
          <v:rect id="_x0000_i1025" style="width:453.6pt;height:1.5pt" o:hralign="center" o:hrstd="t" o:hr="t" fillcolor="#a0a0a0" stroked="f"/>
        </w:pict>
      </w:r>
    </w:p>
    <w:p w14:paraId="50AE3313" w14:textId="77777777" w:rsidR="00F774B0" w:rsidRDefault="00F774B0" w:rsidP="6170E047">
      <w:pPr>
        <w:spacing w:before="100" w:beforeAutospacing="1" w:after="100" w:afterAutospacing="1" w:line="240" w:lineRule="auto"/>
        <w:rPr>
          <w:rFonts w:ascii="Times New Roman" w:eastAsia="Times New Roman" w:hAnsi="Times New Roman" w:cs="Times New Roman"/>
          <w:sz w:val="24"/>
          <w:szCs w:val="24"/>
          <w:lang w:eastAsia="nb-NO"/>
        </w:rPr>
      </w:pPr>
    </w:p>
    <w:p w14:paraId="2598C1F0" w14:textId="5690BAC1" w:rsidR="6170E047" w:rsidRDefault="6170E047" w:rsidP="6170E047">
      <w:pPr>
        <w:spacing w:beforeAutospacing="1" w:afterAutospacing="1" w:line="240" w:lineRule="auto"/>
        <w:rPr>
          <w:rFonts w:ascii="Times New Roman" w:eastAsia="Times New Roman" w:hAnsi="Times New Roman" w:cs="Times New Roman"/>
          <w:sz w:val="24"/>
          <w:szCs w:val="24"/>
          <w:lang w:eastAsia="nb-NO"/>
        </w:rPr>
      </w:pPr>
    </w:p>
    <w:p w14:paraId="01C62E5F" w14:textId="5EAEA699" w:rsidR="6170E047" w:rsidRDefault="6170E047" w:rsidP="6170E047">
      <w:pPr>
        <w:spacing w:beforeAutospacing="1" w:afterAutospacing="1" w:line="240" w:lineRule="auto"/>
        <w:rPr>
          <w:rFonts w:ascii="Times New Roman" w:eastAsia="Times New Roman" w:hAnsi="Times New Roman" w:cs="Times New Roman"/>
          <w:sz w:val="24"/>
          <w:szCs w:val="24"/>
          <w:lang w:eastAsia="nb-NO"/>
        </w:rPr>
      </w:pPr>
    </w:p>
    <w:p w14:paraId="45EA38C4" w14:textId="77777777" w:rsidR="00F774B0" w:rsidRDefault="00F774B0" w:rsidP="4207FF53">
      <w:pPr>
        <w:spacing w:before="100" w:beforeAutospacing="1" w:after="100" w:afterAutospacing="1" w:line="240" w:lineRule="auto"/>
        <w:rPr>
          <w:rFonts w:ascii="Times New Roman" w:eastAsia="Times New Roman" w:hAnsi="Times New Roman" w:cs="Times New Roman"/>
          <w:sz w:val="24"/>
          <w:szCs w:val="24"/>
          <w:lang w:eastAsia="nb-NO"/>
        </w:rPr>
      </w:pPr>
    </w:p>
    <w:p w14:paraId="08871663" w14:textId="5A37A743" w:rsidR="4207FF53" w:rsidRDefault="4207FF53" w:rsidP="4207FF53">
      <w:pPr>
        <w:spacing w:beforeAutospacing="1" w:afterAutospacing="1" w:line="240" w:lineRule="auto"/>
        <w:rPr>
          <w:rFonts w:ascii="Times New Roman" w:eastAsia="Times New Roman" w:hAnsi="Times New Roman" w:cs="Times New Roman"/>
          <w:sz w:val="24"/>
          <w:szCs w:val="24"/>
          <w:lang w:eastAsia="nb-NO"/>
        </w:rPr>
      </w:pPr>
    </w:p>
    <w:p w14:paraId="31436519" w14:textId="2A1C64ED" w:rsidR="4207FF53" w:rsidRDefault="4207FF53" w:rsidP="4207FF53">
      <w:pPr>
        <w:spacing w:beforeAutospacing="1" w:afterAutospacing="1" w:line="240" w:lineRule="auto"/>
        <w:rPr>
          <w:rFonts w:ascii="Times New Roman" w:eastAsia="Times New Roman" w:hAnsi="Times New Roman" w:cs="Times New Roman"/>
          <w:sz w:val="24"/>
          <w:szCs w:val="24"/>
          <w:lang w:eastAsia="nb-NO"/>
        </w:rPr>
      </w:pPr>
    </w:p>
    <w:p w14:paraId="09760BE1" w14:textId="673268E8" w:rsidR="4207FF53" w:rsidRDefault="4207FF53" w:rsidP="4207FF53">
      <w:pPr>
        <w:spacing w:beforeAutospacing="1" w:afterAutospacing="1" w:line="240" w:lineRule="auto"/>
        <w:rPr>
          <w:rFonts w:ascii="Times New Roman" w:eastAsia="Times New Roman" w:hAnsi="Times New Roman" w:cs="Times New Roman"/>
          <w:sz w:val="24"/>
          <w:szCs w:val="24"/>
          <w:lang w:eastAsia="nb-NO"/>
        </w:rPr>
      </w:pPr>
    </w:p>
    <w:p w14:paraId="136D2657" w14:textId="7933B63B" w:rsidR="4207FF53" w:rsidRDefault="4207FF53" w:rsidP="4207FF53">
      <w:pPr>
        <w:spacing w:beforeAutospacing="1" w:afterAutospacing="1" w:line="240" w:lineRule="auto"/>
        <w:rPr>
          <w:rFonts w:ascii="Times New Roman" w:eastAsia="Times New Roman" w:hAnsi="Times New Roman" w:cs="Times New Roman"/>
          <w:sz w:val="24"/>
          <w:szCs w:val="24"/>
          <w:lang w:eastAsia="nb-NO"/>
        </w:rPr>
      </w:pPr>
    </w:p>
    <w:p w14:paraId="1D36254F" w14:textId="2B12BBA4" w:rsidR="4207FF53" w:rsidRDefault="4207FF53" w:rsidP="4207FF53">
      <w:pPr>
        <w:spacing w:beforeAutospacing="1" w:afterAutospacing="1" w:line="240" w:lineRule="auto"/>
        <w:rPr>
          <w:rFonts w:ascii="Times New Roman" w:eastAsia="Times New Roman" w:hAnsi="Times New Roman" w:cs="Times New Roman"/>
          <w:sz w:val="24"/>
          <w:szCs w:val="24"/>
          <w:lang w:eastAsia="nb-NO"/>
        </w:rPr>
      </w:pPr>
    </w:p>
    <w:p w14:paraId="267E9616" w14:textId="588860CF" w:rsidR="4207FF53" w:rsidRDefault="4207FF53" w:rsidP="4207FF53">
      <w:pPr>
        <w:spacing w:beforeAutospacing="1" w:afterAutospacing="1" w:line="240" w:lineRule="auto"/>
        <w:rPr>
          <w:rFonts w:ascii="Times New Roman" w:eastAsia="Times New Roman" w:hAnsi="Times New Roman" w:cs="Times New Roman"/>
          <w:sz w:val="24"/>
          <w:szCs w:val="24"/>
          <w:lang w:eastAsia="nb-NO"/>
        </w:rPr>
      </w:pPr>
    </w:p>
    <w:p w14:paraId="7A605121" w14:textId="2F3B260C" w:rsidR="6170E047" w:rsidRDefault="6170E047" w:rsidP="6170E047">
      <w:pPr>
        <w:spacing w:beforeAutospacing="1" w:afterAutospacing="1" w:line="240" w:lineRule="auto"/>
        <w:rPr>
          <w:rFonts w:ascii="Times New Roman" w:eastAsia="Times New Roman" w:hAnsi="Times New Roman" w:cs="Times New Roman"/>
          <w:sz w:val="24"/>
          <w:szCs w:val="24"/>
          <w:lang w:eastAsia="nb-NO"/>
        </w:rPr>
      </w:pPr>
    </w:p>
    <w:p w14:paraId="073C53A0" w14:textId="163B7F69" w:rsidR="2A348AFC" w:rsidRDefault="2A348AFC" w:rsidP="6170E047">
      <w:pPr>
        <w:pStyle w:val="Overskrift1"/>
        <w:rPr>
          <w:rFonts w:ascii="Cambria" w:hAnsi="Cambria"/>
          <w:u w:val="single"/>
        </w:rPr>
      </w:pPr>
      <w:r>
        <w:t xml:space="preserve">Skjema for </w:t>
      </w:r>
      <w:proofErr w:type="spellStart"/>
      <w:r>
        <w:t>uttalelse</w:t>
      </w:r>
      <w:proofErr w:type="spellEnd"/>
      <w:r>
        <w:t xml:space="preserve"> fra vitnet og vitnets leder</w:t>
      </w:r>
    </w:p>
    <w:p w14:paraId="0B04B6DF" w14:textId="7C5B43CF" w:rsidR="4207FF53" w:rsidRDefault="4207FF53" w:rsidP="6170E047"/>
    <w:tbl>
      <w:tblPr>
        <w:tblStyle w:val="Tabellrutenett"/>
        <w:tblW w:w="0" w:type="auto"/>
        <w:tblLook w:val="04A0" w:firstRow="1" w:lastRow="0" w:firstColumn="1" w:lastColumn="0" w:noHBand="0" w:noVBand="1"/>
      </w:tblPr>
      <w:tblGrid>
        <w:gridCol w:w="2495"/>
        <w:gridCol w:w="6567"/>
      </w:tblGrid>
      <w:tr w:rsidR="4207FF53" w14:paraId="02EF96E5" w14:textId="77777777" w:rsidTr="6170E047">
        <w:tc>
          <w:tcPr>
            <w:tcW w:w="2496" w:type="dxa"/>
          </w:tcPr>
          <w:p w14:paraId="7C24D39A" w14:textId="693638AF" w:rsidR="05EE2520" w:rsidRDefault="61D2568A" w:rsidP="6170E047">
            <w:pPr>
              <w:rPr>
                <w:rFonts w:ascii="Times New Roman" w:hAnsi="Times New Roman" w:cs="Times New Roman"/>
                <w:b/>
                <w:bCs/>
                <w:sz w:val="24"/>
                <w:szCs w:val="24"/>
              </w:rPr>
            </w:pPr>
            <w:r w:rsidRPr="6170E047">
              <w:rPr>
                <w:b/>
                <w:bCs/>
              </w:rPr>
              <w:t>Hvem søker</w:t>
            </w:r>
          </w:p>
        </w:tc>
        <w:tc>
          <w:tcPr>
            <w:tcW w:w="6566" w:type="dxa"/>
          </w:tcPr>
          <w:p w14:paraId="0BD287F7" w14:textId="0885212C" w:rsidR="4207FF53" w:rsidRDefault="4207FF53" w:rsidP="6170E047"/>
        </w:tc>
      </w:tr>
      <w:tr w:rsidR="00893156" w:rsidRPr="00DC26F0" w14:paraId="24B66420" w14:textId="77777777" w:rsidTr="6170E047">
        <w:tc>
          <w:tcPr>
            <w:tcW w:w="2518" w:type="dxa"/>
          </w:tcPr>
          <w:p w14:paraId="6F4A951E" w14:textId="37977D8A" w:rsidR="00893156" w:rsidRPr="00DC26F0" w:rsidRDefault="00893156" w:rsidP="6170E047">
            <w:pPr>
              <w:rPr>
                <w:rFonts w:ascii="Times New Roman" w:hAnsi="Times New Roman" w:cs="Times New Roman"/>
                <w:sz w:val="24"/>
                <w:szCs w:val="24"/>
              </w:rPr>
            </w:pPr>
            <w:r w:rsidRPr="6170E047">
              <w:rPr>
                <w:b/>
                <w:bCs/>
              </w:rPr>
              <w:t>Avhør</w:t>
            </w:r>
            <w:r>
              <w:br/>
              <w:t xml:space="preserve">Politiets </w:t>
            </w:r>
            <w:proofErr w:type="spellStart"/>
            <w:r>
              <w:t>saksnr</w:t>
            </w:r>
            <w:proofErr w:type="spellEnd"/>
            <w:r w:rsidR="57403C1D">
              <w:t>.</w:t>
            </w:r>
          </w:p>
        </w:tc>
        <w:tc>
          <w:tcPr>
            <w:tcW w:w="6694" w:type="dxa"/>
          </w:tcPr>
          <w:p w14:paraId="1B47989C" w14:textId="77777777" w:rsidR="00893156" w:rsidRPr="00DC26F0" w:rsidRDefault="00893156" w:rsidP="6170E047"/>
        </w:tc>
      </w:tr>
      <w:tr w:rsidR="00893156" w:rsidRPr="00DC26F0" w14:paraId="23F0A93B" w14:textId="77777777" w:rsidTr="6170E047">
        <w:tc>
          <w:tcPr>
            <w:tcW w:w="2518" w:type="dxa"/>
          </w:tcPr>
          <w:p w14:paraId="042BF619" w14:textId="44365C17" w:rsidR="00893156" w:rsidRPr="00DC26F0" w:rsidRDefault="00893156" w:rsidP="6170E047">
            <w:pPr>
              <w:rPr>
                <w:rFonts w:ascii="Times New Roman" w:hAnsi="Times New Roman" w:cs="Times New Roman"/>
                <w:sz w:val="24"/>
                <w:szCs w:val="24"/>
              </w:rPr>
            </w:pPr>
            <w:r w:rsidRPr="6170E047">
              <w:rPr>
                <w:b/>
                <w:bCs/>
              </w:rPr>
              <w:t>Rettssak</w:t>
            </w:r>
            <w:r>
              <w:br/>
            </w:r>
            <w:r w:rsidR="001412DC">
              <w:t xml:space="preserve">Navn på domstol, </w:t>
            </w:r>
            <w:proofErr w:type="spellStart"/>
            <w:r>
              <w:t>saksnr</w:t>
            </w:r>
            <w:proofErr w:type="spellEnd"/>
            <w:r w:rsidR="5052FA90">
              <w:t>.</w:t>
            </w:r>
            <w:r w:rsidR="001412DC">
              <w:t xml:space="preserve">, </w:t>
            </w:r>
            <w:r>
              <w:t xml:space="preserve">dato </w:t>
            </w:r>
          </w:p>
        </w:tc>
        <w:tc>
          <w:tcPr>
            <w:tcW w:w="6694" w:type="dxa"/>
          </w:tcPr>
          <w:p w14:paraId="258CC1B9" w14:textId="77777777" w:rsidR="00893156" w:rsidRPr="00DC26F0" w:rsidRDefault="00893156" w:rsidP="6170E047"/>
        </w:tc>
      </w:tr>
      <w:tr w:rsidR="001412DC" w:rsidRPr="00DC26F0" w14:paraId="112D8963" w14:textId="77777777" w:rsidTr="6170E047">
        <w:tc>
          <w:tcPr>
            <w:tcW w:w="2518" w:type="dxa"/>
          </w:tcPr>
          <w:p w14:paraId="6298F9CC" w14:textId="77777777" w:rsidR="001412DC" w:rsidRPr="00DC26F0" w:rsidRDefault="001412DC" w:rsidP="6170E047">
            <w:pPr>
              <w:rPr>
                <w:rFonts w:ascii="Times New Roman" w:hAnsi="Times New Roman" w:cs="Times New Roman"/>
                <w:sz w:val="24"/>
                <w:szCs w:val="24"/>
              </w:rPr>
            </w:pPr>
            <w:r w:rsidRPr="6170E047">
              <w:rPr>
                <w:b/>
                <w:bCs/>
              </w:rPr>
              <w:t>Vitne</w:t>
            </w:r>
            <w:r>
              <w:br/>
              <w:t>Navn, arbeidssted, redegjørelse for hva vitnet skal forklare seg om.</w:t>
            </w:r>
          </w:p>
        </w:tc>
        <w:tc>
          <w:tcPr>
            <w:tcW w:w="6694" w:type="dxa"/>
          </w:tcPr>
          <w:p w14:paraId="21B3FE3F" w14:textId="77777777" w:rsidR="001412DC" w:rsidRPr="00DC26F0" w:rsidRDefault="001412DC" w:rsidP="6170E047"/>
        </w:tc>
      </w:tr>
    </w:tbl>
    <w:p w14:paraId="1023AD3C" w14:textId="163FCE73" w:rsidR="44903A94" w:rsidRDefault="44903A94" w:rsidP="6170E047"/>
    <w:p w14:paraId="2EE0BF73" w14:textId="7D6D1963" w:rsidR="238EAE67" w:rsidRDefault="238EAE67" w:rsidP="6170E047">
      <w:pPr>
        <w:rPr>
          <w:rFonts w:ascii="Times New Roman" w:eastAsia="Times New Roman" w:hAnsi="Times New Roman" w:cs="Times New Roman"/>
          <w:sz w:val="24"/>
          <w:szCs w:val="24"/>
          <w:lang w:eastAsia="nb-NO"/>
        </w:rPr>
      </w:pPr>
      <w:r>
        <w:t xml:space="preserve">Vitnet og vitnets leder skal ta stilling til om de har innvendinger mot å fritas for taushetsplikten. Relevant uttalelse fra vitnet og vitnets leder vil kunne være om </w:t>
      </w:r>
      <w:r w:rsidRPr="6170E047">
        <w:t>«</w:t>
      </w:r>
      <w:r w:rsidRPr="6170E047">
        <w:rPr>
          <w:i/>
          <w:iCs/>
        </w:rPr>
        <w:t>det vil virke urimelig overfor den som opplysningene gjelder</w:t>
      </w:r>
      <w:r w:rsidRPr="6170E047">
        <w:t>»</w:t>
      </w:r>
      <w:r>
        <w:t xml:space="preserve"> at vitnet forklarer seg. </w:t>
      </w:r>
    </w:p>
    <w:p w14:paraId="5C2545A9" w14:textId="645FBCEF" w:rsidR="238EAE67" w:rsidRDefault="238EAE67" w:rsidP="6170E047">
      <w:pPr>
        <w:rPr>
          <w:rFonts w:ascii="Times New Roman" w:eastAsia="Times New Roman" w:hAnsi="Times New Roman" w:cs="Times New Roman"/>
          <w:sz w:val="24"/>
          <w:szCs w:val="24"/>
          <w:lang w:eastAsia="nb-NO"/>
        </w:rPr>
      </w:pPr>
      <w:r>
        <w:t xml:space="preserve">Dersom vitnet eller leder mener å ikke ha forutsetninger for å svare på dette eller mener at det ikke vil virke urimelig, kan dette besvares kort. </w:t>
      </w:r>
    </w:p>
    <w:p w14:paraId="44843B20" w14:textId="0978AE94" w:rsidR="44903A94" w:rsidRDefault="238EAE67" w:rsidP="6170E047">
      <w:pPr>
        <w:rPr>
          <w:rFonts w:ascii="Times New Roman" w:eastAsia="Times New Roman" w:hAnsi="Times New Roman" w:cs="Times New Roman"/>
          <w:sz w:val="24"/>
          <w:szCs w:val="24"/>
          <w:lang w:eastAsia="nb-NO"/>
        </w:rPr>
      </w:pPr>
      <w:r>
        <w:t xml:space="preserve">Dersom vitnet eller leder mener vitneførsel </w:t>
      </w:r>
      <w:r w:rsidR="2853B471">
        <w:t>vil virke urimelig</w:t>
      </w:r>
      <w:r>
        <w:t>, skal dette begrunnes. I uttalelsen bør det i korte trekk gjøres rede for hva kontakten med dem som har krav på taushet har bestått i, og hvordan man vurderer konsekvensene av vitneførsel.</w:t>
      </w:r>
    </w:p>
    <w:p w14:paraId="4E70F829" w14:textId="440C5010" w:rsidR="4207FF53" w:rsidRDefault="4207FF53" w:rsidP="6170E047"/>
    <w:tbl>
      <w:tblPr>
        <w:tblStyle w:val="Tabellrutenett"/>
        <w:tblW w:w="0" w:type="auto"/>
        <w:tblLook w:val="04A0" w:firstRow="1" w:lastRow="0" w:firstColumn="1" w:lastColumn="0" w:noHBand="0" w:noVBand="1"/>
      </w:tblPr>
      <w:tblGrid>
        <w:gridCol w:w="9062"/>
      </w:tblGrid>
      <w:tr w:rsidR="00893156" w:rsidRPr="00DC26F0" w14:paraId="0339AB5E" w14:textId="77777777" w:rsidTr="6170E047">
        <w:tc>
          <w:tcPr>
            <w:tcW w:w="9212" w:type="dxa"/>
          </w:tcPr>
          <w:p w14:paraId="5C45F7A0" w14:textId="77777777" w:rsidR="00893156" w:rsidRPr="00DC26F0" w:rsidRDefault="00893156" w:rsidP="6170E047">
            <w:pPr>
              <w:rPr>
                <w:rFonts w:ascii="Times New Roman" w:hAnsi="Times New Roman" w:cs="Times New Roman"/>
                <w:b/>
                <w:bCs/>
                <w:sz w:val="24"/>
                <w:szCs w:val="24"/>
              </w:rPr>
            </w:pPr>
            <w:proofErr w:type="spellStart"/>
            <w:r w:rsidRPr="6170E047">
              <w:rPr>
                <w:b/>
                <w:bCs/>
              </w:rPr>
              <w:t>Uttalelse</w:t>
            </w:r>
            <w:proofErr w:type="spellEnd"/>
            <w:r w:rsidRPr="6170E047">
              <w:rPr>
                <w:b/>
                <w:bCs/>
              </w:rPr>
              <w:t xml:space="preserve"> </w:t>
            </w:r>
            <w:proofErr w:type="gramStart"/>
            <w:r w:rsidRPr="6170E047">
              <w:rPr>
                <w:b/>
                <w:bCs/>
              </w:rPr>
              <w:t>vedrørende</w:t>
            </w:r>
            <w:proofErr w:type="gramEnd"/>
            <w:r w:rsidRPr="6170E047">
              <w:rPr>
                <w:b/>
                <w:bCs/>
              </w:rPr>
              <w:t xml:space="preserve"> fritak fra taushetsplikt</w:t>
            </w:r>
          </w:p>
        </w:tc>
      </w:tr>
      <w:tr w:rsidR="00893156" w:rsidRPr="00DC26F0" w14:paraId="0BD2C462" w14:textId="77777777" w:rsidTr="6170E047">
        <w:tc>
          <w:tcPr>
            <w:tcW w:w="9212" w:type="dxa"/>
          </w:tcPr>
          <w:p w14:paraId="566FDA63" w14:textId="77777777" w:rsidR="00F774B0" w:rsidRPr="00DC26F0" w:rsidRDefault="00F774B0" w:rsidP="6170E047">
            <w:pPr>
              <w:rPr>
                <w:rFonts w:ascii="Times New Roman" w:hAnsi="Times New Roman" w:cs="Times New Roman"/>
                <w:b/>
                <w:bCs/>
                <w:sz w:val="24"/>
                <w:szCs w:val="24"/>
              </w:rPr>
            </w:pPr>
            <w:r w:rsidRPr="6170E047">
              <w:rPr>
                <w:b/>
                <w:bCs/>
              </w:rPr>
              <w:t>For vitnet:</w:t>
            </w:r>
          </w:p>
          <w:p w14:paraId="3201786B" w14:textId="082F8EC2" w:rsidR="00F774B0" w:rsidRDefault="00F774B0" w:rsidP="6170E047">
            <w:pPr>
              <w:rPr>
                <w:rFonts w:ascii="Times New Roman" w:hAnsi="Times New Roman" w:cs="Times New Roman"/>
                <w:sz w:val="24"/>
                <w:szCs w:val="24"/>
              </w:rPr>
            </w:pPr>
            <w:r>
              <w:t>Jeg har / har ingen (stryk det som ikke passer) innvendinger mot</w:t>
            </w:r>
            <w:r w:rsidR="5F9BA7D9">
              <w:t xml:space="preserve"> å bli fritatt fra taushetsplikten i den aktuelle saken. </w:t>
            </w:r>
          </w:p>
          <w:p w14:paraId="40C8B87F" w14:textId="18E8AC21" w:rsidR="00F774B0" w:rsidRPr="00DC26F0" w:rsidRDefault="00F774B0" w:rsidP="6170E047">
            <w:pPr>
              <w:rPr>
                <w:rFonts w:ascii="Times New Roman" w:hAnsi="Times New Roman" w:cs="Times New Roman"/>
                <w:sz w:val="24"/>
                <w:szCs w:val="24"/>
              </w:rPr>
            </w:pPr>
            <w:r>
              <w:br/>
              <w:t>Dato/underskrift</w:t>
            </w:r>
            <w:r>
              <w:br/>
              <w:t>Navn på vitnet</w:t>
            </w:r>
          </w:p>
          <w:p w14:paraId="6F5ABDA5" w14:textId="77777777" w:rsidR="00F774B0" w:rsidRPr="00DC26F0" w:rsidRDefault="00F774B0" w:rsidP="6170E047"/>
          <w:p w14:paraId="072A5729" w14:textId="44FFC033" w:rsidR="00F774B0" w:rsidRPr="00DC26F0" w:rsidRDefault="00F774B0" w:rsidP="6170E047">
            <w:pPr>
              <w:rPr>
                <w:rFonts w:ascii="Times New Roman" w:hAnsi="Times New Roman" w:cs="Times New Roman"/>
                <w:sz w:val="24"/>
                <w:szCs w:val="24"/>
              </w:rPr>
            </w:pPr>
            <w:r w:rsidRPr="6170E047">
              <w:rPr>
                <w:b/>
                <w:bCs/>
              </w:rPr>
              <w:t>For vitnets leder:</w:t>
            </w:r>
            <w:r>
              <w:br/>
              <w:t xml:space="preserve">Jeg har / har ingen (stryk det som ikke passer) </w:t>
            </w:r>
            <w:r w:rsidR="5D65D499">
              <w:t>innvendinger mot å bli fritatt fra taushetsplikten i den aktuelle saken.</w:t>
            </w:r>
          </w:p>
          <w:p w14:paraId="06EA674B" w14:textId="7A92D0F9" w:rsidR="00F774B0" w:rsidRPr="00DC26F0" w:rsidRDefault="00F774B0" w:rsidP="6170E047">
            <w:pPr>
              <w:rPr>
                <w:rFonts w:ascii="Times New Roman" w:hAnsi="Times New Roman" w:cs="Times New Roman"/>
                <w:sz w:val="24"/>
                <w:szCs w:val="24"/>
              </w:rPr>
            </w:pPr>
            <w:r>
              <w:br/>
              <w:t>Dato/underskrift</w:t>
            </w:r>
            <w:r>
              <w:br/>
              <w:t>Navn på vitnet</w:t>
            </w:r>
            <w:r w:rsidR="001412DC">
              <w:t>s leder</w:t>
            </w:r>
          </w:p>
          <w:p w14:paraId="19A45FE3" w14:textId="3B976026" w:rsidR="00F774B0" w:rsidRPr="00DC26F0" w:rsidRDefault="00F774B0" w:rsidP="6170E047"/>
          <w:p w14:paraId="55BE97CF" w14:textId="30D85C1E" w:rsidR="00F774B0" w:rsidRPr="00DC26F0" w:rsidRDefault="00F774B0" w:rsidP="6170E047"/>
        </w:tc>
      </w:tr>
      <w:tr w:rsidR="44903A94" w14:paraId="2D0C57D2" w14:textId="77777777" w:rsidTr="6170E047">
        <w:trPr>
          <w:trHeight w:val="5340"/>
        </w:trPr>
        <w:tc>
          <w:tcPr>
            <w:tcW w:w="9062" w:type="dxa"/>
          </w:tcPr>
          <w:p w14:paraId="48B3B38A" w14:textId="3C88DA0D" w:rsidR="7D9D2B86" w:rsidRDefault="7ABC5825" w:rsidP="6170E047">
            <w:pPr>
              <w:rPr>
                <w:b/>
                <w:bCs/>
              </w:rPr>
            </w:pPr>
            <w:r w:rsidRPr="6170E047">
              <w:rPr>
                <w:b/>
                <w:bCs/>
              </w:rPr>
              <w:lastRenderedPageBreak/>
              <w:t>Begrunnelse/uttalelse</w:t>
            </w:r>
            <w:r w:rsidR="369748CC" w:rsidRPr="6170E047">
              <w:rPr>
                <w:b/>
                <w:bCs/>
              </w:rPr>
              <w:t xml:space="preserve">: </w:t>
            </w:r>
          </w:p>
        </w:tc>
      </w:tr>
    </w:tbl>
    <w:p w14:paraId="2FC49176" w14:textId="77777777" w:rsidR="00893156" w:rsidRDefault="00893156" w:rsidP="00893156"/>
    <w:p w14:paraId="230D15A4" w14:textId="77777777" w:rsidR="00893156" w:rsidRDefault="00893156" w:rsidP="00893156"/>
    <w:p w14:paraId="4803E9C7" w14:textId="77777777" w:rsidR="00893156" w:rsidRDefault="00893156" w:rsidP="00893156"/>
    <w:p w14:paraId="592C4FC8" w14:textId="77777777" w:rsidR="00893156" w:rsidRDefault="00893156" w:rsidP="00893156">
      <w:pPr>
        <w:spacing w:before="100" w:beforeAutospacing="1" w:after="100" w:afterAutospacing="1" w:line="240" w:lineRule="auto"/>
        <w:rPr>
          <w:rFonts w:ascii="Times New Roman" w:eastAsia="Times New Roman" w:hAnsi="Times New Roman" w:cs="Times New Roman"/>
          <w:sz w:val="24"/>
          <w:szCs w:val="24"/>
          <w:lang w:eastAsia="nb-NO"/>
        </w:rPr>
      </w:pPr>
    </w:p>
    <w:p w14:paraId="13FD995B" w14:textId="77777777" w:rsidR="00893156" w:rsidRDefault="00893156" w:rsidP="00893156">
      <w:pPr>
        <w:spacing w:before="100" w:beforeAutospacing="1" w:after="100" w:afterAutospacing="1" w:line="240" w:lineRule="auto"/>
        <w:rPr>
          <w:rFonts w:ascii="Times New Roman" w:eastAsia="Times New Roman" w:hAnsi="Times New Roman" w:cs="Times New Roman"/>
          <w:sz w:val="24"/>
          <w:szCs w:val="24"/>
          <w:lang w:eastAsia="nb-NO"/>
        </w:rPr>
      </w:pPr>
    </w:p>
    <w:p w14:paraId="02F0E88B" w14:textId="77777777" w:rsidR="00893156" w:rsidRDefault="00893156" w:rsidP="00893156">
      <w:pPr>
        <w:spacing w:before="100" w:beforeAutospacing="1" w:after="100" w:afterAutospacing="1" w:line="240" w:lineRule="auto"/>
        <w:rPr>
          <w:rFonts w:ascii="Times New Roman" w:eastAsia="Times New Roman" w:hAnsi="Times New Roman" w:cs="Times New Roman"/>
          <w:sz w:val="24"/>
          <w:szCs w:val="24"/>
          <w:lang w:eastAsia="nb-NO"/>
        </w:rPr>
      </w:pPr>
    </w:p>
    <w:p w14:paraId="6F15BD9D" w14:textId="77777777" w:rsidR="00893156" w:rsidRPr="00893156" w:rsidRDefault="00893156" w:rsidP="00893156"/>
    <w:sectPr w:rsidR="00893156" w:rsidRPr="00893156" w:rsidSect="00F774B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7739" w14:textId="77777777" w:rsidR="00566FFA" w:rsidRDefault="00566FFA" w:rsidP="001412DC">
      <w:pPr>
        <w:spacing w:after="0" w:line="240" w:lineRule="auto"/>
      </w:pPr>
      <w:r>
        <w:separator/>
      </w:r>
    </w:p>
  </w:endnote>
  <w:endnote w:type="continuationSeparator" w:id="0">
    <w:p w14:paraId="505BCF9F" w14:textId="77777777" w:rsidR="00566FFA" w:rsidRDefault="00566FFA" w:rsidP="0014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6948" w14:textId="77777777" w:rsidR="00566FFA" w:rsidRDefault="00566FFA" w:rsidP="001412DC">
      <w:pPr>
        <w:spacing w:after="0" w:line="240" w:lineRule="auto"/>
      </w:pPr>
      <w:r>
        <w:separator/>
      </w:r>
    </w:p>
  </w:footnote>
  <w:footnote w:type="continuationSeparator" w:id="0">
    <w:p w14:paraId="76FEF38E" w14:textId="77777777" w:rsidR="00566FFA" w:rsidRDefault="00566FFA" w:rsidP="00141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1BDF"/>
    <w:multiLevelType w:val="multilevel"/>
    <w:tmpl w:val="FA0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1727"/>
    <w:multiLevelType w:val="multilevel"/>
    <w:tmpl w:val="C2C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311CF"/>
    <w:multiLevelType w:val="hybridMultilevel"/>
    <w:tmpl w:val="CFC07E06"/>
    <w:lvl w:ilvl="0" w:tplc="0E38E160">
      <w:start w:val="1"/>
      <w:numFmt w:val="bullet"/>
      <w:lvlText w:val=""/>
      <w:lvlJc w:val="left"/>
      <w:pPr>
        <w:ind w:left="720" w:hanging="360"/>
      </w:pPr>
      <w:rPr>
        <w:rFonts w:ascii="Symbol" w:hAnsi="Symbol" w:hint="default"/>
      </w:rPr>
    </w:lvl>
    <w:lvl w:ilvl="1" w:tplc="C090EEA2">
      <w:start w:val="1"/>
      <w:numFmt w:val="bullet"/>
      <w:lvlText w:val="o"/>
      <w:lvlJc w:val="left"/>
      <w:pPr>
        <w:ind w:left="1440" w:hanging="360"/>
      </w:pPr>
      <w:rPr>
        <w:rFonts w:ascii="Courier New" w:hAnsi="Courier New" w:hint="default"/>
      </w:rPr>
    </w:lvl>
    <w:lvl w:ilvl="2" w:tplc="514C4D7C">
      <w:start w:val="1"/>
      <w:numFmt w:val="bullet"/>
      <w:lvlText w:val=""/>
      <w:lvlJc w:val="left"/>
      <w:pPr>
        <w:ind w:left="2160" w:hanging="360"/>
      </w:pPr>
      <w:rPr>
        <w:rFonts w:ascii="Wingdings" w:hAnsi="Wingdings" w:hint="default"/>
      </w:rPr>
    </w:lvl>
    <w:lvl w:ilvl="3" w:tplc="12EC6E52">
      <w:start w:val="1"/>
      <w:numFmt w:val="bullet"/>
      <w:lvlText w:val=""/>
      <w:lvlJc w:val="left"/>
      <w:pPr>
        <w:ind w:left="2880" w:hanging="360"/>
      </w:pPr>
      <w:rPr>
        <w:rFonts w:ascii="Symbol" w:hAnsi="Symbol" w:hint="default"/>
      </w:rPr>
    </w:lvl>
    <w:lvl w:ilvl="4" w:tplc="D3364604">
      <w:start w:val="1"/>
      <w:numFmt w:val="bullet"/>
      <w:lvlText w:val="o"/>
      <w:lvlJc w:val="left"/>
      <w:pPr>
        <w:ind w:left="3600" w:hanging="360"/>
      </w:pPr>
      <w:rPr>
        <w:rFonts w:ascii="Courier New" w:hAnsi="Courier New" w:hint="default"/>
      </w:rPr>
    </w:lvl>
    <w:lvl w:ilvl="5" w:tplc="95627464">
      <w:start w:val="1"/>
      <w:numFmt w:val="bullet"/>
      <w:lvlText w:val=""/>
      <w:lvlJc w:val="left"/>
      <w:pPr>
        <w:ind w:left="4320" w:hanging="360"/>
      </w:pPr>
      <w:rPr>
        <w:rFonts w:ascii="Wingdings" w:hAnsi="Wingdings" w:hint="default"/>
      </w:rPr>
    </w:lvl>
    <w:lvl w:ilvl="6" w:tplc="86D63330">
      <w:start w:val="1"/>
      <w:numFmt w:val="bullet"/>
      <w:lvlText w:val=""/>
      <w:lvlJc w:val="left"/>
      <w:pPr>
        <w:ind w:left="5040" w:hanging="360"/>
      </w:pPr>
      <w:rPr>
        <w:rFonts w:ascii="Symbol" w:hAnsi="Symbol" w:hint="default"/>
      </w:rPr>
    </w:lvl>
    <w:lvl w:ilvl="7" w:tplc="2F0C470E">
      <w:start w:val="1"/>
      <w:numFmt w:val="bullet"/>
      <w:lvlText w:val="o"/>
      <w:lvlJc w:val="left"/>
      <w:pPr>
        <w:ind w:left="5760" w:hanging="360"/>
      </w:pPr>
      <w:rPr>
        <w:rFonts w:ascii="Courier New" w:hAnsi="Courier New" w:hint="default"/>
      </w:rPr>
    </w:lvl>
    <w:lvl w:ilvl="8" w:tplc="4698A484">
      <w:start w:val="1"/>
      <w:numFmt w:val="bullet"/>
      <w:lvlText w:val=""/>
      <w:lvlJc w:val="left"/>
      <w:pPr>
        <w:ind w:left="6480" w:hanging="360"/>
      </w:pPr>
      <w:rPr>
        <w:rFonts w:ascii="Wingdings" w:hAnsi="Wingdings" w:hint="default"/>
      </w:rPr>
    </w:lvl>
  </w:abstractNum>
  <w:abstractNum w:abstractNumId="3" w15:restartNumberingAfterBreak="0">
    <w:nsid w:val="38EA1899"/>
    <w:multiLevelType w:val="hybridMultilevel"/>
    <w:tmpl w:val="CD468C02"/>
    <w:lvl w:ilvl="0" w:tplc="AC0CC096">
      <w:start w:val="1"/>
      <w:numFmt w:val="bullet"/>
      <w:lvlText w:val=""/>
      <w:lvlJc w:val="left"/>
      <w:pPr>
        <w:ind w:left="720" w:hanging="360"/>
      </w:pPr>
      <w:rPr>
        <w:rFonts w:ascii="Symbol" w:hAnsi="Symbol" w:hint="default"/>
      </w:rPr>
    </w:lvl>
    <w:lvl w:ilvl="1" w:tplc="B4AE1752">
      <w:start w:val="1"/>
      <w:numFmt w:val="bullet"/>
      <w:lvlText w:val="o"/>
      <w:lvlJc w:val="left"/>
      <w:pPr>
        <w:ind w:left="1440" w:hanging="360"/>
      </w:pPr>
      <w:rPr>
        <w:rFonts w:ascii="Courier New" w:hAnsi="Courier New" w:hint="default"/>
      </w:rPr>
    </w:lvl>
    <w:lvl w:ilvl="2" w:tplc="FBCA2E3A">
      <w:start w:val="1"/>
      <w:numFmt w:val="bullet"/>
      <w:lvlText w:val=""/>
      <w:lvlJc w:val="left"/>
      <w:pPr>
        <w:ind w:left="2160" w:hanging="360"/>
      </w:pPr>
      <w:rPr>
        <w:rFonts w:ascii="Wingdings" w:hAnsi="Wingdings" w:hint="default"/>
      </w:rPr>
    </w:lvl>
    <w:lvl w:ilvl="3" w:tplc="C2385D04">
      <w:start w:val="1"/>
      <w:numFmt w:val="bullet"/>
      <w:lvlText w:val=""/>
      <w:lvlJc w:val="left"/>
      <w:pPr>
        <w:ind w:left="2880" w:hanging="360"/>
      </w:pPr>
      <w:rPr>
        <w:rFonts w:ascii="Symbol" w:hAnsi="Symbol" w:hint="default"/>
      </w:rPr>
    </w:lvl>
    <w:lvl w:ilvl="4" w:tplc="D6BA4C04">
      <w:start w:val="1"/>
      <w:numFmt w:val="bullet"/>
      <w:lvlText w:val="o"/>
      <w:lvlJc w:val="left"/>
      <w:pPr>
        <w:ind w:left="3600" w:hanging="360"/>
      </w:pPr>
      <w:rPr>
        <w:rFonts w:ascii="Courier New" w:hAnsi="Courier New" w:hint="default"/>
      </w:rPr>
    </w:lvl>
    <w:lvl w:ilvl="5" w:tplc="A0184138">
      <w:start w:val="1"/>
      <w:numFmt w:val="bullet"/>
      <w:lvlText w:val=""/>
      <w:lvlJc w:val="left"/>
      <w:pPr>
        <w:ind w:left="4320" w:hanging="360"/>
      </w:pPr>
      <w:rPr>
        <w:rFonts w:ascii="Wingdings" w:hAnsi="Wingdings" w:hint="default"/>
      </w:rPr>
    </w:lvl>
    <w:lvl w:ilvl="6" w:tplc="59428E1E">
      <w:start w:val="1"/>
      <w:numFmt w:val="bullet"/>
      <w:lvlText w:val=""/>
      <w:lvlJc w:val="left"/>
      <w:pPr>
        <w:ind w:left="5040" w:hanging="360"/>
      </w:pPr>
      <w:rPr>
        <w:rFonts w:ascii="Symbol" w:hAnsi="Symbol" w:hint="default"/>
      </w:rPr>
    </w:lvl>
    <w:lvl w:ilvl="7" w:tplc="75B87B9C">
      <w:start w:val="1"/>
      <w:numFmt w:val="bullet"/>
      <w:lvlText w:val="o"/>
      <w:lvlJc w:val="left"/>
      <w:pPr>
        <w:ind w:left="5760" w:hanging="360"/>
      </w:pPr>
      <w:rPr>
        <w:rFonts w:ascii="Courier New" w:hAnsi="Courier New" w:hint="default"/>
      </w:rPr>
    </w:lvl>
    <w:lvl w:ilvl="8" w:tplc="A5E8588C">
      <w:start w:val="1"/>
      <w:numFmt w:val="bullet"/>
      <w:lvlText w:val=""/>
      <w:lvlJc w:val="left"/>
      <w:pPr>
        <w:ind w:left="6480" w:hanging="360"/>
      </w:pPr>
      <w:rPr>
        <w:rFonts w:ascii="Wingdings" w:hAnsi="Wingdings" w:hint="default"/>
      </w:rPr>
    </w:lvl>
  </w:abstractNum>
  <w:abstractNum w:abstractNumId="4" w15:restartNumberingAfterBreak="0">
    <w:nsid w:val="3C2B0D36"/>
    <w:multiLevelType w:val="hybridMultilevel"/>
    <w:tmpl w:val="E1D08762"/>
    <w:lvl w:ilvl="0" w:tplc="5FBC4534">
      <w:start w:val="1"/>
      <w:numFmt w:val="bullet"/>
      <w:lvlText w:val=""/>
      <w:lvlJc w:val="left"/>
      <w:pPr>
        <w:ind w:left="720" w:hanging="360"/>
      </w:pPr>
      <w:rPr>
        <w:rFonts w:ascii="Symbol" w:hAnsi="Symbol" w:hint="default"/>
      </w:rPr>
    </w:lvl>
    <w:lvl w:ilvl="1" w:tplc="6750E61C">
      <w:start w:val="1"/>
      <w:numFmt w:val="bullet"/>
      <w:lvlText w:val="o"/>
      <w:lvlJc w:val="left"/>
      <w:pPr>
        <w:ind w:left="1440" w:hanging="360"/>
      </w:pPr>
      <w:rPr>
        <w:rFonts w:ascii="Courier New" w:hAnsi="Courier New" w:hint="default"/>
      </w:rPr>
    </w:lvl>
    <w:lvl w:ilvl="2" w:tplc="74D0CE92">
      <w:start w:val="1"/>
      <w:numFmt w:val="bullet"/>
      <w:lvlText w:val=""/>
      <w:lvlJc w:val="left"/>
      <w:pPr>
        <w:ind w:left="2160" w:hanging="360"/>
      </w:pPr>
      <w:rPr>
        <w:rFonts w:ascii="Wingdings" w:hAnsi="Wingdings" w:hint="default"/>
      </w:rPr>
    </w:lvl>
    <w:lvl w:ilvl="3" w:tplc="3BEC1DDE">
      <w:start w:val="1"/>
      <w:numFmt w:val="bullet"/>
      <w:lvlText w:val=""/>
      <w:lvlJc w:val="left"/>
      <w:pPr>
        <w:ind w:left="2880" w:hanging="360"/>
      </w:pPr>
      <w:rPr>
        <w:rFonts w:ascii="Symbol" w:hAnsi="Symbol" w:hint="default"/>
      </w:rPr>
    </w:lvl>
    <w:lvl w:ilvl="4" w:tplc="128E34A4">
      <w:start w:val="1"/>
      <w:numFmt w:val="bullet"/>
      <w:lvlText w:val="o"/>
      <w:lvlJc w:val="left"/>
      <w:pPr>
        <w:ind w:left="3600" w:hanging="360"/>
      </w:pPr>
      <w:rPr>
        <w:rFonts w:ascii="Courier New" w:hAnsi="Courier New" w:hint="default"/>
      </w:rPr>
    </w:lvl>
    <w:lvl w:ilvl="5" w:tplc="E490EB36">
      <w:start w:val="1"/>
      <w:numFmt w:val="bullet"/>
      <w:lvlText w:val=""/>
      <w:lvlJc w:val="left"/>
      <w:pPr>
        <w:ind w:left="4320" w:hanging="360"/>
      </w:pPr>
      <w:rPr>
        <w:rFonts w:ascii="Wingdings" w:hAnsi="Wingdings" w:hint="default"/>
      </w:rPr>
    </w:lvl>
    <w:lvl w:ilvl="6" w:tplc="179878EC">
      <w:start w:val="1"/>
      <w:numFmt w:val="bullet"/>
      <w:lvlText w:val=""/>
      <w:lvlJc w:val="left"/>
      <w:pPr>
        <w:ind w:left="5040" w:hanging="360"/>
      </w:pPr>
      <w:rPr>
        <w:rFonts w:ascii="Symbol" w:hAnsi="Symbol" w:hint="default"/>
      </w:rPr>
    </w:lvl>
    <w:lvl w:ilvl="7" w:tplc="53403938">
      <w:start w:val="1"/>
      <w:numFmt w:val="bullet"/>
      <w:lvlText w:val="o"/>
      <w:lvlJc w:val="left"/>
      <w:pPr>
        <w:ind w:left="5760" w:hanging="360"/>
      </w:pPr>
      <w:rPr>
        <w:rFonts w:ascii="Courier New" w:hAnsi="Courier New" w:hint="default"/>
      </w:rPr>
    </w:lvl>
    <w:lvl w:ilvl="8" w:tplc="8C38CA98">
      <w:start w:val="1"/>
      <w:numFmt w:val="bullet"/>
      <w:lvlText w:val=""/>
      <w:lvlJc w:val="left"/>
      <w:pPr>
        <w:ind w:left="6480" w:hanging="360"/>
      </w:pPr>
      <w:rPr>
        <w:rFonts w:ascii="Wingdings" w:hAnsi="Wingdings" w:hint="default"/>
      </w:rPr>
    </w:lvl>
  </w:abstractNum>
  <w:abstractNum w:abstractNumId="5" w15:restartNumberingAfterBreak="0">
    <w:nsid w:val="46A44DF6"/>
    <w:multiLevelType w:val="multilevel"/>
    <w:tmpl w:val="12D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237B8"/>
    <w:multiLevelType w:val="hybridMultilevel"/>
    <w:tmpl w:val="A47A44FA"/>
    <w:lvl w:ilvl="0" w:tplc="BA60990C">
      <w:start w:val="1"/>
      <w:numFmt w:val="bullet"/>
      <w:lvlText w:val=""/>
      <w:lvlJc w:val="left"/>
      <w:pPr>
        <w:ind w:left="720" w:hanging="360"/>
      </w:pPr>
      <w:rPr>
        <w:rFonts w:ascii="Symbol" w:hAnsi="Symbol" w:hint="default"/>
      </w:rPr>
    </w:lvl>
    <w:lvl w:ilvl="1" w:tplc="D9D8BBC4">
      <w:start w:val="1"/>
      <w:numFmt w:val="bullet"/>
      <w:lvlText w:val="o"/>
      <w:lvlJc w:val="left"/>
      <w:pPr>
        <w:ind w:left="1440" w:hanging="360"/>
      </w:pPr>
      <w:rPr>
        <w:rFonts w:ascii="Courier New" w:hAnsi="Courier New" w:hint="default"/>
      </w:rPr>
    </w:lvl>
    <w:lvl w:ilvl="2" w:tplc="D930C350">
      <w:start w:val="1"/>
      <w:numFmt w:val="bullet"/>
      <w:lvlText w:val=""/>
      <w:lvlJc w:val="left"/>
      <w:pPr>
        <w:ind w:left="2160" w:hanging="360"/>
      </w:pPr>
      <w:rPr>
        <w:rFonts w:ascii="Wingdings" w:hAnsi="Wingdings" w:hint="default"/>
      </w:rPr>
    </w:lvl>
    <w:lvl w:ilvl="3" w:tplc="74F0BFCE">
      <w:start w:val="1"/>
      <w:numFmt w:val="bullet"/>
      <w:lvlText w:val=""/>
      <w:lvlJc w:val="left"/>
      <w:pPr>
        <w:ind w:left="2880" w:hanging="360"/>
      </w:pPr>
      <w:rPr>
        <w:rFonts w:ascii="Symbol" w:hAnsi="Symbol" w:hint="default"/>
      </w:rPr>
    </w:lvl>
    <w:lvl w:ilvl="4" w:tplc="E71237FE">
      <w:start w:val="1"/>
      <w:numFmt w:val="bullet"/>
      <w:lvlText w:val="o"/>
      <w:lvlJc w:val="left"/>
      <w:pPr>
        <w:ind w:left="3600" w:hanging="360"/>
      </w:pPr>
      <w:rPr>
        <w:rFonts w:ascii="Courier New" w:hAnsi="Courier New" w:hint="default"/>
      </w:rPr>
    </w:lvl>
    <w:lvl w:ilvl="5" w:tplc="5A140F70">
      <w:start w:val="1"/>
      <w:numFmt w:val="bullet"/>
      <w:lvlText w:val=""/>
      <w:lvlJc w:val="left"/>
      <w:pPr>
        <w:ind w:left="4320" w:hanging="360"/>
      </w:pPr>
      <w:rPr>
        <w:rFonts w:ascii="Wingdings" w:hAnsi="Wingdings" w:hint="default"/>
      </w:rPr>
    </w:lvl>
    <w:lvl w:ilvl="6" w:tplc="7A8CEF30">
      <w:start w:val="1"/>
      <w:numFmt w:val="bullet"/>
      <w:lvlText w:val=""/>
      <w:lvlJc w:val="left"/>
      <w:pPr>
        <w:ind w:left="5040" w:hanging="360"/>
      </w:pPr>
      <w:rPr>
        <w:rFonts w:ascii="Symbol" w:hAnsi="Symbol" w:hint="default"/>
      </w:rPr>
    </w:lvl>
    <w:lvl w:ilvl="7" w:tplc="8DF6915C">
      <w:start w:val="1"/>
      <w:numFmt w:val="bullet"/>
      <w:lvlText w:val="o"/>
      <w:lvlJc w:val="left"/>
      <w:pPr>
        <w:ind w:left="5760" w:hanging="360"/>
      </w:pPr>
      <w:rPr>
        <w:rFonts w:ascii="Courier New" w:hAnsi="Courier New" w:hint="default"/>
      </w:rPr>
    </w:lvl>
    <w:lvl w:ilvl="8" w:tplc="16CE3142">
      <w:start w:val="1"/>
      <w:numFmt w:val="bullet"/>
      <w:lvlText w:val=""/>
      <w:lvlJc w:val="left"/>
      <w:pPr>
        <w:ind w:left="6480" w:hanging="360"/>
      </w:pPr>
      <w:rPr>
        <w:rFonts w:ascii="Wingdings" w:hAnsi="Wingdings" w:hint="default"/>
      </w:rPr>
    </w:lvl>
  </w:abstractNum>
  <w:abstractNum w:abstractNumId="7" w15:restartNumberingAfterBreak="0">
    <w:nsid w:val="74E661D8"/>
    <w:multiLevelType w:val="hybridMultilevel"/>
    <w:tmpl w:val="C46CDAF0"/>
    <w:lvl w:ilvl="0" w:tplc="DC4A852C">
      <w:start w:val="1"/>
      <w:numFmt w:val="bullet"/>
      <w:lvlText w:val=""/>
      <w:lvlJc w:val="left"/>
      <w:pPr>
        <w:ind w:left="720" w:hanging="360"/>
      </w:pPr>
      <w:rPr>
        <w:rFonts w:ascii="Symbol" w:hAnsi="Symbol" w:hint="default"/>
      </w:rPr>
    </w:lvl>
    <w:lvl w:ilvl="1" w:tplc="902C774A">
      <w:start w:val="1"/>
      <w:numFmt w:val="bullet"/>
      <w:lvlText w:val="o"/>
      <w:lvlJc w:val="left"/>
      <w:pPr>
        <w:ind w:left="1440" w:hanging="360"/>
      </w:pPr>
      <w:rPr>
        <w:rFonts w:ascii="Courier New" w:hAnsi="Courier New" w:hint="default"/>
      </w:rPr>
    </w:lvl>
    <w:lvl w:ilvl="2" w:tplc="ED8C99A2">
      <w:start w:val="1"/>
      <w:numFmt w:val="bullet"/>
      <w:lvlText w:val=""/>
      <w:lvlJc w:val="left"/>
      <w:pPr>
        <w:ind w:left="2160" w:hanging="360"/>
      </w:pPr>
      <w:rPr>
        <w:rFonts w:ascii="Wingdings" w:hAnsi="Wingdings" w:hint="default"/>
      </w:rPr>
    </w:lvl>
    <w:lvl w:ilvl="3" w:tplc="68C003EA">
      <w:start w:val="1"/>
      <w:numFmt w:val="bullet"/>
      <w:lvlText w:val=""/>
      <w:lvlJc w:val="left"/>
      <w:pPr>
        <w:ind w:left="2880" w:hanging="360"/>
      </w:pPr>
      <w:rPr>
        <w:rFonts w:ascii="Symbol" w:hAnsi="Symbol" w:hint="default"/>
      </w:rPr>
    </w:lvl>
    <w:lvl w:ilvl="4" w:tplc="7A0243F6">
      <w:start w:val="1"/>
      <w:numFmt w:val="bullet"/>
      <w:lvlText w:val="o"/>
      <w:lvlJc w:val="left"/>
      <w:pPr>
        <w:ind w:left="3600" w:hanging="360"/>
      </w:pPr>
      <w:rPr>
        <w:rFonts w:ascii="Courier New" w:hAnsi="Courier New" w:hint="default"/>
      </w:rPr>
    </w:lvl>
    <w:lvl w:ilvl="5" w:tplc="840EA0AE">
      <w:start w:val="1"/>
      <w:numFmt w:val="bullet"/>
      <w:lvlText w:val=""/>
      <w:lvlJc w:val="left"/>
      <w:pPr>
        <w:ind w:left="4320" w:hanging="360"/>
      </w:pPr>
      <w:rPr>
        <w:rFonts w:ascii="Wingdings" w:hAnsi="Wingdings" w:hint="default"/>
      </w:rPr>
    </w:lvl>
    <w:lvl w:ilvl="6" w:tplc="B6069298">
      <w:start w:val="1"/>
      <w:numFmt w:val="bullet"/>
      <w:lvlText w:val=""/>
      <w:lvlJc w:val="left"/>
      <w:pPr>
        <w:ind w:left="5040" w:hanging="360"/>
      </w:pPr>
      <w:rPr>
        <w:rFonts w:ascii="Symbol" w:hAnsi="Symbol" w:hint="default"/>
      </w:rPr>
    </w:lvl>
    <w:lvl w:ilvl="7" w:tplc="507273D0">
      <w:start w:val="1"/>
      <w:numFmt w:val="bullet"/>
      <w:lvlText w:val="o"/>
      <w:lvlJc w:val="left"/>
      <w:pPr>
        <w:ind w:left="5760" w:hanging="360"/>
      </w:pPr>
      <w:rPr>
        <w:rFonts w:ascii="Courier New" w:hAnsi="Courier New" w:hint="default"/>
      </w:rPr>
    </w:lvl>
    <w:lvl w:ilvl="8" w:tplc="922649B4">
      <w:start w:val="1"/>
      <w:numFmt w:val="bullet"/>
      <w:lvlText w:val=""/>
      <w:lvlJc w:val="left"/>
      <w:pPr>
        <w:ind w:left="6480" w:hanging="360"/>
      </w:pPr>
      <w:rPr>
        <w:rFonts w:ascii="Wingdings" w:hAnsi="Wingdings" w:hint="default"/>
      </w:rPr>
    </w:lvl>
  </w:abstractNum>
  <w:num w:numId="1" w16cid:durableId="1375497365">
    <w:abstractNumId w:val="3"/>
  </w:num>
  <w:num w:numId="2" w16cid:durableId="1430814650">
    <w:abstractNumId w:val="4"/>
  </w:num>
  <w:num w:numId="3" w16cid:durableId="1444884042">
    <w:abstractNumId w:val="6"/>
  </w:num>
  <w:num w:numId="4" w16cid:durableId="856430747">
    <w:abstractNumId w:val="2"/>
  </w:num>
  <w:num w:numId="5" w16cid:durableId="261955931">
    <w:abstractNumId w:val="7"/>
  </w:num>
  <w:num w:numId="6" w16cid:durableId="51662715">
    <w:abstractNumId w:val="5"/>
  </w:num>
  <w:num w:numId="7" w16cid:durableId="1042095251">
    <w:abstractNumId w:val="1"/>
  </w:num>
  <w:num w:numId="8" w16cid:durableId="120903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56"/>
    <w:rsid w:val="0004C667"/>
    <w:rsid w:val="001412DC"/>
    <w:rsid w:val="002676E0"/>
    <w:rsid w:val="00287FD8"/>
    <w:rsid w:val="0029165D"/>
    <w:rsid w:val="002F718E"/>
    <w:rsid w:val="00566FFA"/>
    <w:rsid w:val="005D1273"/>
    <w:rsid w:val="006A5EF5"/>
    <w:rsid w:val="00753F7B"/>
    <w:rsid w:val="007C7194"/>
    <w:rsid w:val="0086EF3B"/>
    <w:rsid w:val="00893156"/>
    <w:rsid w:val="00B33487"/>
    <w:rsid w:val="00B35662"/>
    <w:rsid w:val="00DC26F0"/>
    <w:rsid w:val="00F774B0"/>
    <w:rsid w:val="01A096C8"/>
    <w:rsid w:val="02E708EE"/>
    <w:rsid w:val="0330BF25"/>
    <w:rsid w:val="03A1EBCE"/>
    <w:rsid w:val="03EF6CA5"/>
    <w:rsid w:val="03FA6A76"/>
    <w:rsid w:val="0439DD0F"/>
    <w:rsid w:val="0536E275"/>
    <w:rsid w:val="055A605E"/>
    <w:rsid w:val="05EABFE6"/>
    <w:rsid w:val="05EE2520"/>
    <w:rsid w:val="067D5610"/>
    <w:rsid w:val="06F719B2"/>
    <w:rsid w:val="071C77AB"/>
    <w:rsid w:val="073EFA35"/>
    <w:rsid w:val="07743670"/>
    <w:rsid w:val="07A4EA72"/>
    <w:rsid w:val="07F7D48A"/>
    <w:rsid w:val="083FF968"/>
    <w:rsid w:val="08650A5C"/>
    <w:rsid w:val="08A944B4"/>
    <w:rsid w:val="0985776A"/>
    <w:rsid w:val="099EC3F4"/>
    <w:rsid w:val="0AA1DC03"/>
    <w:rsid w:val="0AA9B527"/>
    <w:rsid w:val="0B007E91"/>
    <w:rsid w:val="0B587A8B"/>
    <w:rsid w:val="0B711501"/>
    <w:rsid w:val="0B9D9AB4"/>
    <w:rsid w:val="0BE4359D"/>
    <w:rsid w:val="0C08DD1B"/>
    <w:rsid w:val="0C469558"/>
    <w:rsid w:val="0CF93F4E"/>
    <w:rsid w:val="0D504E75"/>
    <w:rsid w:val="0E37B4D0"/>
    <w:rsid w:val="0FA9DD10"/>
    <w:rsid w:val="0FE9BE12"/>
    <w:rsid w:val="0FEC1699"/>
    <w:rsid w:val="0FF078D1"/>
    <w:rsid w:val="102C534A"/>
    <w:rsid w:val="10629183"/>
    <w:rsid w:val="10662A49"/>
    <w:rsid w:val="10819322"/>
    <w:rsid w:val="12DB8CE5"/>
    <w:rsid w:val="13661427"/>
    <w:rsid w:val="14753432"/>
    <w:rsid w:val="14994686"/>
    <w:rsid w:val="14A760D7"/>
    <w:rsid w:val="157E6D61"/>
    <w:rsid w:val="15E2D75E"/>
    <w:rsid w:val="1646E219"/>
    <w:rsid w:val="18A7B184"/>
    <w:rsid w:val="18CE37C6"/>
    <w:rsid w:val="1A02D1EF"/>
    <w:rsid w:val="1A157366"/>
    <w:rsid w:val="1A3B4535"/>
    <w:rsid w:val="1A3FB268"/>
    <w:rsid w:val="1ADD6422"/>
    <w:rsid w:val="1B9EA250"/>
    <w:rsid w:val="1BA51439"/>
    <w:rsid w:val="1BDD6E8A"/>
    <w:rsid w:val="1C5268B8"/>
    <w:rsid w:val="1D198EC5"/>
    <w:rsid w:val="1E559ED7"/>
    <w:rsid w:val="1E759D30"/>
    <w:rsid w:val="1E9B8CA6"/>
    <w:rsid w:val="1EB04E44"/>
    <w:rsid w:val="1EF87D02"/>
    <w:rsid w:val="1F4B879A"/>
    <w:rsid w:val="1F57D46E"/>
    <w:rsid w:val="1FC8CCC0"/>
    <w:rsid w:val="1FD82407"/>
    <w:rsid w:val="20313C3D"/>
    <w:rsid w:val="20A2064D"/>
    <w:rsid w:val="20D949AB"/>
    <w:rsid w:val="2107ACC5"/>
    <w:rsid w:val="211D490A"/>
    <w:rsid w:val="220B2D62"/>
    <w:rsid w:val="224B6B95"/>
    <w:rsid w:val="22C47050"/>
    <w:rsid w:val="230C6148"/>
    <w:rsid w:val="238EAE67"/>
    <w:rsid w:val="23D15AE0"/>
    <w:rsid w:val="241D1810"/>
    <w:rsid w:val="2461C33D"/>
    <w:rsid w:val="24C57227"/>
    <w:rsid w:val="25A0C554"/>
    <w:rsid w:val="25ACBACE"/>
    <w:rsid w:val="25C133DE"/>
    <w:rsid w:val="25D210CE"/>
    <w:rsid w:val="275A596B"/>
    <w:rsid w:val="278602FF"/>
    <w:rsid w:val="281B355E"/>
    <w:rsid w:val="2825B022"/>
    <w:rsid w:val="28395D59"/>
    <w:rsid w:val="2853B471"/>
    <w:rsid w:val="285CC98D"/>
    <w:rsid w:val="2877D751"/>
    <w:rsid w:val="28F08933"/>
    <w:rsid w:val="291C2E15"/>
    <w:rsid w:val="29776DE7"/>
    <w:rsid w:val="29883281"/>
    <w:rsid w:val="29B4209C"/>
    <w:rsid w:val="2A348AFC"/>
    <w:rsid w:val="2A8C5994"/>
    <w:rsid w:val="2D38E60A"/>
    <w:rsid w:val="2DBD1F78"/>
    <w:rsid w:val="2E8F9B25"/>
    <w:rsid w:val="2F42623D"/>
    <w:rsid w:val="2F5B8A9A"/>
    <w:rsid w:val="30043CD2"/>
    <w:rsid w:val="301F2C71"/>
    <w:rsid w:val="3037D64C"/>
    <w:rsid w:val="30DE329E"/>
    <w:rsid w:val="310F2EE9"/>
    <w:rsid w:val="312081C0"/>
    <w:rsid w:val="317904A8"/>
    <w:rsid w:val="31A9F645"/>
    <w:rsid w:val="31E37947"/>
    <w:rsid w:val="32932B5C"/>
    <w:rsid w:val="32BC5221"/>
    <w:rsid w:val="32F31AAD"/>
    <w:rsid w:val="333E232E"/>
    <w:rsid w:val="3344F684"/>
    <w:rsid w:val="33C80AAC"/>
    <w:rsid w:val="35222438"/>
    <w:rsid w:val="360C32A3"/>
    <w:rsid w:val="369748CC"/>
    <w:rsid w:val="37DCC364"/>
    <w:rsid w:val="38F8574A"/>
    <w:rsid w:val="39C2009A"/>
    <w:rsid w:val="39E544BB"/>
    <w:rsid w:val="39ECAE8F"/>
    <w:rsid w:val="3A71FB8E"/>
    <w:rsid w:val="3A8A16E2"/>
    <w:rsid w:val="3AAA6AE4"/>
    <w:rsid w:val="3BBD374E"/>
    <w:rsid w:val="3BCFFAC8"/>
    <w:rsid w:val="3C3A0DA2"/>
    <w:rsid w:val="3C3B4069"/>
    <w:rsid w:val="3D937312"/>
    <w:rsid w:val="3DB921CD"/>
    <w:rsid w:val="3DBE3C5D"/>
    <w:rsid w:val="3EA21A08"/>
    <w:rsid w:val="3ED998F6"/>
    <w:rsid w:val="3EEF4311"/>
    <w:rsid w:val="3F5751BE"/>
    <w:rsid w:val="4100840B"/>
    <w:rsid w:val="410C2A56"/>
    <w:rsid w:val="413CAB2D"/>
    <w:rsid w:val="419B8CAD"/>
    <w:rsid w:val="41B04152"/>
    <w:rsid w:val="41D6589B"/>
    <w:rsid w:val="4207FF53"/>
    <w:rsid w:val="422BE15A"/>
    <w:rsid w:val="4246AF43"/>
    <w:rsid w:val="425797D5"/>
    <w:rsid w:val="426BC804"/>
    <w:rsid w:val="42935CE0"/>
    <w:rsid w:val="42DB51A5"/>
    <w:rsid w:val="42DF257B"/>
    <w:rsid w:val="432E219F"/>
    <w:rsid w:val="433E7514"/>
    <w:rsid w:val="440248B3"/>
    <w:rsid w:val="44292EDD"/>
    <w:rsid w:val="44514D2A"/>
    <w:rsid w:val="44903A94"/>
    <w:rsid w:val="4496F5D6"/>
    <w:rsid w:val="45C8FA52"/>
    <w:rsid w:val="460B8F8A"/>
    <w:rsid w:val="4788EDEC"/>
    <w:rsid w:val="47CE9698"/>
    <w:rsid w:val="48FF7A42"/>
    <w:rsid w:val="495B8180"/>
    <w:rsid w:val="495FFAB5"/>
    <w:rsid w:val="49A876AC"/>
    <w:rsid w:val="49FB251D"/>
    <w:rsid w:val="4A1C2690"/>
    <w:rsid w:val="4A37528D"/>
    <w:rsid w:val="4A411AAB"/>
    <w:rsid w:val="4AB4ED88"/>
    <w:rsid w:val="4AC60FB0"/>
    <w:rsid w:val="4B196E1F"/>
    <w:rsid w:val="4B23B632"/>
    <w:rsid w:val="4B5FEDCA"/>
    <w:rsid w:val="4BC7CAEB"/>
    <w:rsid w:val="4BE23C0C"/>
    <w:rsid w:val="4CD79553"/>
    <w:rsid w:val="4DC718B3"/>
    <w:rsid w:val="4E22CF12"/>
    <w:rsid w:val="4E8A9D45"/>
    <w:rsid w:val="4FA0F7E7"/>
    <w:rsid w:val="4FAD6CC2"/>
    <w:rsid w:val="504ACA7F"/>
    <w:rsid w:val="5052FA90"/>
    <w:rsid w:val="5109A309"/>
    <w:rsid w:val="515B8DEA"/>
    <w:rsid w:val="51725709"/>
    <w:rsid w:val="51F86D2F"/>
    <w:rsid w:val="522DEB0D"/>
    <w:rsid w:val="531FAEA4"/>
    <w:rsid w:val="5387BD58"/>
    <w:rsid w:val="53A5D023"/>
    <w:rsid w:val="542DA363"/>
    <w:rsid w:val="54755107"/>
    <w:rsid w:val="5506B08D"/>
    <w:rsid w:val="5587B436"/>
    <w:rsid w:val="56065DA8"/>
    <w:rsid w:val="56695734"/>
    <w:rsid w:val="56A56C95"/>
    <w:rsid w:val="57068875"/>
    <w:rsid w:val="57403C1D"/>
    <w:rsid w:val="578054CD"/>
    <w:rsid w:val="57C5713B"/>
    <w:rsid w:val="58413CF6"/>
    <w:rsid w:val="585673DC"/>
    <w:rsid w:val="58736AF0"/>
    <w:rsid w:val="587A73AC"/>
    <w:rsid w:val="58FACDEA"/>
    <w:rsid w:val="5993A082"/>
    <w:rsid w:val="5BA65232"/>
    <w:rsid w:val="5BB14D0E"/>
    <w:rsid w:val="5C7FBA01"/>
    <w:rsid w:val="5D0116D2"/>
    <w:rsid w:val="5D1BD1F5"/>
    <w:rsid w:val="5D5EA8B0"/>
    <w:rsid w:val="5D65D499"/>
    <w:rsid w:val="5DF86DDD"/>
    <w:rsid w:val="5DF8B3A1"/>
    <w:rsid w:val="5F87265D"/>
    <w:rsid w:val="5F9BA7D9"/>
    <w:rsid w:val="5FD2A33B"/>
    <w:rsid w:val="60169656"/>
    <w:rsid w:val="604640CC"/>
    <w:rsid w:val="614DAED6"/>
    <w:rsid w:val="6170E047"/>
    <w:rsid w:val="61D2568A"/>
    <w:rsid w:val="62FCFD06"/>
    <w:rsid w:val="633E52E6"/>
    <w:rsid w:val="63726270"/>
    <w:rsid w:val="64B7596C"/>
    <w:rsid w:val="64C1AF5A"/>
    <w:rsid w:val="6565276A"/>
    <w:rsid w:val="65E0A085"/>
    <w:rsid w:val="65FA54BA"/>
    <w:rsid w:val="66FA1498"/>
    <w:rsid w:val="67AFEB1A"/>
    <w:rsid w:val="67BED270"/>
    <w:rsid w:val="67C6F96E"/>
    <w:rsid w:val="67F6CD55"/>
    <w:rsid w:val="680EB9A5"/>
    <w:rsid w:val="68765648"/>
    <w:rsid w:val="68C0AA86"/>
    <w:rsid w:val="68DCEDE8"/>
    <w:rsid w:val="68FFC1E7"/>
    <w:rsid w:val="6949A26D"/>
    <w:rsid w:val="69A691CE"/>
    <w:rsid w:val="69FB1EA7"/>
    <w:rsid w:val="6A28D0D0"/>
    <w:rsid w:val="6A312179"/>
    <w:rsid w:val="6A9A58A9"/>
    <w:rsid w:val="6B199BD0"/>
    <w:rsid w:val="6B5F53CA"/>
    <w:rsid w:val="6B627AEF"/>
    <w:rsid w:val="6C2FB205"/>
    <w:rsid w:val="6C99CC9E"/>
    <w:rsid w:val="6CE535E2"/>
    <w:rsid w:val="6D54FF75"/>
    <w:rsid w:val="6E39A759"/>
    <w:rsid w:val="6ECD0D89"/>
    <w:rsid w:val="6F6DA62D"/>
    <w:rsid w:val="7048A50C"/>
    <w:rsid w:val="70533550"/>
    <w:rsid w:val="706B21F2"/>
    <w:rsid w:val="71FC16E6"/>
    <w:rsid w:val="7204AFDC"/>
    <w:rsid w:val="7269B544"/>
    <w:rsid w:val="72884AF3"/>
    <w:rsid w:val="737E515E"/>
    <w:rsid w:val="740892F7"/>
    <w:rsid w:val="74A53939"/>
    <w:rsid w:val="74D33DC6"/>
    <w:rsid w:val="75CCEEAF"/>
    <w:rsid w:val="75F4C9B2"/>
    <w:rsid w:val="765805FE"/>
    <w:rsid w:val="76B0246F"/>
    <w:rsid w:val="76D49093"/>
    <w:rsid w:val="773E9154"/>
    <w:rsid w:val="77A640B0"/>
    <w:rsid w:val="788736F7"/>
    <w:rsid w:val="78ED9646"/>
    <w:rsid w:val="799A160D"/>
    <w:rsid w:val="79A686B0"/>
    <w:rsid w:val="79E6D4A5"/>
    <w:rsid w:val="7ABC5825"/>
    <w:rsid w:val="7B2B20CF"/>
    <w:rsid w:val="7B780E0B"/>
    <w:rsid w:val="7BC0319D"/>
    <w:rsid w:val="7C120277"/>
    <w:rsid w:val="7C1F0B8D"/>
    <w:rsid w:val="7C64F473"/>
    <w:rsid w:val="7D9D2B86"/>
    <w:rsid w:val="7E524C8E"/>
    <w:rsid w:val="7E584125"/>
    <w:rsid w:val="7EC99E73"/>
    <w:rsid w:val="7F1A2D10"/>
    <w:rsid w:val="7F3A444C"/>
    <w:rsid w:val="7F6B3148"/>
    <w:rsid w:val="7FEB8F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975614"/>
  <w15:docId w15:val="{9F0A2908-C9F1-41FD-8CAF-649167CE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77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931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93156"/>
    <w:rPr>
      <w:rFonts w:asciiTheme="majorHAnsi" w:eastAsiaTheme="majorEastAsia" w:hAnsiTheme="majorHAnsi" w:cstheme="majorBidi"/>
      <w:color w:val="17365D" w:themeColor="text2" w:themeShade="BF"/>
      <w:spacing w:val="5"/>
      <w:kern w:val="28"/>
      <w:sz w:val="52"/>
      <w:szCs w:val="52"/>
    </w:rPr>
  </w:style>
  <w:style w:type="table" w:styleId="Tabellrutenett">
    <w:name w:val="Table Grid"/>
    <w:basedOn w:val="Vanligtabell"/>
    <w:uiPriority w:val="59"/>
    <w:rsid w:val="00893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315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93156"/>
    <w:rPr>
      <w:b/>
      <w:bCs/>
    </w:rPr>
  </w:style>
  <w:style w:type="paragraph" w:customStyle="1" w:styleId="dmfullstory">
    <w:name w:val="dmfullstory"/>
    <w:basedOn w:val="Normal"/>
    <w:rsid w:val="0089315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F774B0"/>
    <w:rPr>
      <w:rFonts w:asciiTheme="majorHAnsi" w:eastAsiaTheme="majorEastAsia" w:hAnsiTheme="majorHAnsi" w:cstheme="majorBidi"/>
      <w:b/>
      <w:bCs/>
      <w:color w:val="365F91" w:themeColor="accent1" w:themeShade="BF"/>
      <w:sz w:val="28"/>
      <w:szCs w:val="28"/>
    </w:rPr>
  </w:style>
  <w:style w:type="paragraph" w:styleId="Fotnotetekst">
    <w:name w:val="footnote text"/>
    <w:basedOn w:val="Normal"/>
    <w:link w:val="FotnotetekstTegn"/>
    <w:uiPriority w:val="99"/>
    <w:semiHidden/>
    <w:unhideWhenUsed/>
    <w:rsid w:val="001412D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412DC"/>
    <w:rPr>
      <w:sz w:val="20"/>
      <w:szCs w:val="20"/>
    </w:rPr>
  </w:style>
  <w:style w:type="character" w:styleId="Fotnotereferanse">
    <w:name w:val="footnote reference"/>
    <w:basedOn w:val="Standardskriftforavsnitt"/>
    <w:uiPriority w:val="99"/>
    <w:semiHidden/>
    <w:unhideWhenUsed/>
    <w:rsid w:val="001412DC"/>
    <w:rPr>
      <w:vertAlign w:val="superscript"/>
    </w:r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54203">
      <w:bodyDiv w:val="1"/>
      <w:marLeft w:val="0"/>
      <w:marRight w:val="0"/>
      <w:marTop w:val="0"/>
      <w:marBottom w:val="0"/>
      <w:divBdr>
        <w:top w:val="none" w:sz="0" w:space="0" w:color="auto"/>
        <w:left w:val="none" w:sz="0" w:space="0" w:color="auto"/>
        <w:bottom w:val="none" w:sz="0" w:space="0" w:color="auto"/>
        <w:right w:val="none" w:sz="0" w:space="0" w:color="auto"/>
      </w:divBdr>
      <w:divsChild>
        <w:div w:id="1076241158">
          <w:marLeft w:val="0"/>
          <w:marRight w:val="0"/>
          <w:marTop w:val="0"/>
          <w:marBottom w:val="0"/>
          <w:divBdr>
            <w:top w:val="none" w:sz="0" w:space="0" w:color="auto"/>
            <w:left w:val="none" w:sz="0" w:space="0" w:color="auto"/>
            <w:bottom w:val="none" w:sz="0" w:space="0" w:color="auto"/>
            <w:right w:val="none" w:sz="0" w:space="0" w:color="auto"/>
          </w:divBdr>
          <w:divsChild>
            <w:div w:id="1313097187">
              <w:marLeft w:val="0"/>
              <w:marRight w:val="0"/>
              <w:marTop w:val="0"/>
              <w:marBottom w:val="0"/>
              <w:divBdr>
                <w:top w:val="none" w:sz="0" w:space="0" w:color="auto"/>
                <w:left w:val="none" w:sz="0" w:space="0" w:color="auto"/>
                <w:bottom w:val="none" w:sz="0" w:space="0" w:color="auto"/>
                <w:right w:val="none" w:sz="0" w:space="0" w:color="auto"/>
              </w:divBdr>
              <w:divsChild>
                <w:div w:id="1005211288">
                  <w:marLeft w:val="0"/>
                  <w:marRight w:val="0"/>
                  <w:marTop w:val="0"/>
                  <w:marBottom w:val="0"/>
                  <w:divBdr>
                    <w:top w:val="none" w:sz="0" w:space="0" w:color="auto"/>
                    <w:left w:val="none" w:sz="0" w:space="0" w:color="auto"/>
                    <w:bottom w:val="none" w:sz="0" w:space="0" w:color="auto"/>
                    <w:right w:val="none" w:sz="0" w:space="0" w:color="auto"/>
                  </w:divBdr>
                  <w:divsChild>
                    <w:div w:id="1753430955">
                      <w:marLeft w:val="0"/>
                      <w:marRight w:val="0"/>
                      <w:marTop w:val="0"/>
                      <w:marBottom w:val="0"/>
                      <w:divBdr>
                        <w:top w:val="none" w:sz="0" w:space="0" w:color="auto"/>
                        <w:left w:val="none" w:sz="0" w:space="0" w:color="auto"/>
                        <w:bottom w:val="none" w:sz="0" w:space="0" w:color="auto"/>
                        <w:right w:val="none" w:sz="0" w:space="0" w:color="auto"/>
                      </w:divBdr>
                      <w:divsChild>
                        <w:div w:id="123696959">
                          <w:marLeft w:val="0"/>
                          <w:marRight w:val="0"/>
                          <w:marTop w:val="0"/>
                          <w:marBottom w:val="0"/>
                          <w:divBdr>
                            <w:top w:val="none" w:sz="0" w:space="0" w:color="auto"/>
                            <w:left w:val="none" w:sz="0" w:space="0" w:color="auto"/>
                            <w:bottom w:val="none" w:sz="0" w:space="0" w:color="auto"/>
                            <w:right w:val="none" w:sz="0" w:space="0" w:color="auto"/>
                          </w:divBdr>
                        </w:div>
                        <w:div w:id="1708482756">
                          <w:marLeft w:val="0"/>
                          <w:marRight w:val="0"/>
                          <w:marTop w:val="0"/>
                          <w:marBottom w:val="0"/>
                          <w:divBdr>
                            <w:top w:val="none" w:sz="0" w:space="0" w:color="auto"/>
                            <w:left w:val="none" w:sz="0" w:space="0" w:color="auto"/>
                            <w:bottom w:val="none" w:sz="0" w:space="0" w:color="auto"/>
                            <w:right w:val="none" w:sz="0" w:space="0" w:color="auto"/>
                          </w:divBdr>
                        </w:div>
                        <w:div w:id="1824160675">
                          <w:marLeft w:val="0"/>
                          <w:marRight w:val="0"/>
                          <w:marTop w:val="0"/>
                          <w:marBottom w:val="0"/>
                          <w:divBdr>
                            <w:top w:val="none" w:sz="0" w:space="0" w:color="auto"/>
                            <w:left w:val="none" w:sz="0" w:space="0" w:color="auto"/>
                            <w:bottom w:val="none" w:sz="0" w:space="0" w:color="auto"/>
                            <w:right w:val="none" w:sz="0" w:space="0" w:color="auto"/>
                          </w:divBdr>
                        </w:div>
                        <w:div w:id="927884265">
                          <w:marLeft w:val="0"/>
                          <w:marRight w:val="0"/>
                          <w:marTop w:val="0"/>
                          <w:marBottom w:val="0"/>
                          <w:divBdr>
                            <w:top w:val="none" w:sz="0" w:space="0" w:color="auto"/>
                            <w:left w:val="none" w:sz="0" w:space="0" w:color="auto"/>
                            <w:bottom w:val="none" w:sz="0" w:space="0" w:color="auto"/>
                            <w:right w:val="none" w:sz="0" w:space="0" w:color="auto"/>
                          </w:divBdr>
                        </w:div>
                        <w:div w:id="9841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50237">
      <w:bodyDiv w:val="1"/>
      <w:marLeft w:val="0"/>
      <w:marRight w:val="0"/>
      <w:marTop w:val="0"/>
      <w:marBottom w:val="0"/>
      <w:divBdr>
        <w:top w:val="none" w:sz="0" w:space="0" w:color="auto"/>
        <w:left w:val="none" w:sz="0" w:space="0" w:color="auto"/>
        <w:bottom w:val="none" w:sz="0" w:space="0" w:color="auto"/>
        <w:right w:val="none" w:sz="0" w:space="0" w:color="auto"/>
      </w:divBdr>
    </w:div>
    <w:div w:id="817309115">
      <w:bodyDiv w:val="1"/>
      <w:marLeft w:val="0"/>
      <w:marRight w:val="0"/>
      <w:marTop w:val="0"/>
      <w:marBottom w:val="0"/>
      <w:divBdr>
        <w:top w:val="none" w:sz="0" w:space="0" w:color="auto"/>
        <w:left w:val="none" w:sz="0" w:space="0" w:color="auto"/>
        <w:bottom w:val="none" w:sz="0" w:space="0" w:color="auto"/>
        <w:right w:val="none" w:sz="0" w:space="0" w:color="auto"/>
      </w:divBdr>
      <w:divsChild>
        <w:div w:id="1598250102">
          <w:marLeft w:val="0"/>
          <w:marRight w:val="0"/>
          <w:marTop w:val="0"/>
          <w:marBottom w:val="0"/>
          <w:divBdr>
            <w:top w:val="none" w:sz="0" w:space="0" w:color="auto"/>
            <w:left w:val="none" w:sz="0" w:space="0" w:color="auto"/>
            <w:bottom w:val="none" w:sz="0" w:space="0" w:color="auto"/>
            <w:right w:val="none" w:sz="0" w:space="0" w:color="auto"/>
          </w:divBdr>
          <w:divsChild>
            <w:div w:id="1662075347">
              <w:marLeft w:val="0"/>
              <w:marRight w:val="0"/>
              <w:marTop w:val="0"/>
              <w:marBottom w:val="0"/>
              <w:divBdr>
                <w:top w:val="none" w:sz="0" w:space="0" w:color="auto"/>
                <w:left w:val="none" w:sz="0" w:space="0" w:color="auto"/>
                <w:bottom w:val="none" w:sz="0" w:space="0" w:color="auto"/>
                <w:right w:val="none" w:sz="0" w:space="0" w:color="auto"/>
              </w:divBdr>
              <w:divsChild>
                <w:div w:id="1833835211">
                  <w:marLeft w:val="0"/>
                  <w:marRight w:val="0"/>
                  <w:marTop w:val="0"/>
                  <w:marBottom w:val="0"/>
                  <w:divBdr>
                    <w:top w:val="none" w:sz="0" w:space="0" w:color="auto"/>
                    <w:left w:val="none" w:sz="0" w:space="0" w:color="auto"/>
                    <w:bottom w:val="none" w:sz="0" w:space="0" w:color="auto"/>
                    <w:right w:val="none" w:sz="0" w:space="0" w:color="auto"/>
                  </w:divBdr>
                  <w:divsChild>
                    <w:div w:id="864440322">
                      <w:marLeft w:val="0"/>
                      <w:marRight w:val="0"/>
                      <w:marTop w:val="0"/>
                      <w:marBottom w:val="0"/>
                      <w:divBdr>
                        <w:top w:val="none" w:sz="0" w:space="0" w:color="auto"/>
                        <w:left w:val="none" w:sz="0" w:space="0" w:color="auto"/>
                        <w:bottom w:val="none" w:sz="0" w:space="0" w:color="auto"/>
                        <w:right w:val="none" w:sz="0" w:space="0" w:color="auto"/>
                      </w:divBdr>
                      <w:divsChild>
                        <w:div w:id="13816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D3AA384C2FC24B8BDD56942FC86546" ma:contentTypeVersion="2" ma:contentTypeDescription="Opprett et nytt dokument." ma:contentTypeScope="" ma:versionID="b5f83a10ccf4e8de1f6b5ad936c632aa">
  <xsd:schema xmlns:xsd="http://www.w3.org/2001/XMLSchema" xmlns:xs="http://www.w3.org/2001/XMLSchema" xmlns:p="http://schemas.microsoft.com/office/2006/metadata/properties" xmlns:ns2="94ce141f-8538-4859-b3be-f865906fa39c" targetNamespace="http://schemas.microsoft.com/office/2006/metadata/properties" ma:root="true" ma:fieldsID="543c58412ca9590c11e9036dea02c41f" ns2:_="">
    <xsd:import namespace="94ce141f-8538-4859-b3be-f865906fa3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e141f-8538-4859-b3be-f865906f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1DA45-DF9D-4E03-AB2E-2CD7E8B23AB9}">
  <ds:schemaRefs>
    <ds:schemaRef ds:uri="http://schemas.microsoft.com/sharepoint/v3/contenttype/forms"/>
  </ds:schemaRefs>
</ds:datastoreItem>
</file>

<file path=customXml/itemProps2.xml><?xml version="1.0" encoding="utf-8"?>
<ds:datastoreItem xmlns:ds="http://schemas.openxmlformats.org/officeDocument/2006/customXml" ds:itemID="{6E8F3477-6AE7-4BBA-ADB7-7E2D0290C30B}">
  <ds:schemaRefs>
    <ds:schemaRef ds:uri="http://schemas.openxmlformats.org/officeDocument/2006/bibliography"/>
  </ds:schemaRefs>
</ds:datastoreItem>
</file>

<file path=customXml/itemProps3.xml><?xml version="1.0" encoding="utf-8"?>
<ds:datastoreItem xmlns:ds="http://schemas.openxmlformats.org/officeDocument/2006/customXml" ds:itemID="{2BFB8CC8-0081-4814-B0E1-A0D53CED7D43}">
  <ds:schemaRefs>
    <ds:schemaRef ds:uri="http://schemas.microsoft.com/office/2006/metadata/properties"/>
    <ds:schemaRef ds:uri="94ce141f-8538-4859-b3be-f865906fa39c"/>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9314B93-0ED5-48B5-92E9-D29AA8872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e141f-8538-4859-b3be-f865906f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1218</Words>
  <Characters>6459</Characters>
  <Application>Microsoft Office Word</Application>
  <DocSecurity>0</DocSecurity>
  <Lines>53</Lines>
  <Paragraphs>15</Paragraphs>
  <ScaleCrop>false</ScaleCrop>
  <Company>Fylkesmannen i Oslo og Akershus</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Kristiansen, Bjørn-Tore</dc:creator>
  <cp:lastModifiedBy>Bjørn Tore Kristiansen</cp:lastModifiedBy>
  <cp:revision>2</cp:revision>
  <dcterms:created xsi:type="dcterms:W3CDTF">2023-01-06T14:50:00Z</dcterms:created>
  <dcterms:modified xsi:type="dcterms:W3CDTF">2023-01-06T14:50:00Z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0x01010042D3AA384C2FC24B8BDD56942FC86546</vt:lpwstr>
  </property>
</Properties>
</file>